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BA52" w14:textId="3F024C5E" w:rsidR="00E57FF7" w:rsidRPr="008825D5" w:rsidRDefault="000A5D5D" w:rsidP="007B3BE3">
      <w:pPr>
        <w:pStyle w:val="NoSpacing"/>
        <w:rPr>
          <w:rFonts w:ascii="MHeiHK-Medium" w:eastAsia="MHeiHK-Medium" w:hAnsi="MHeiHK-Medium"/>
        </w:rPr>
      </w:pPr>
      <w:r w:rsidRPr="008825D5">
        <w:rPr>
          <w:rFonts w:ascii="MHeiHK-Medium" w:eastAsia="MHeiHK-Medium" w:hAnsi="MHeiHK-Medium"/>
          <w:noProof/>
          <w:lang w:val="en-GB"/>
        </w:rPr>
        <w:drawing>
          <wp:inline distT="0" distB="0" distL="0" distR="0" wp14:anchorId="711BE2C2" wp14:editId="55D72410">
            <wp:extent cx="2032029" cy="56952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32029" cy="569526"/>
                    </a:xfrm>
                    <a:prstGeom prst="rect">
                      <a:avLst/>
                    </a:prstGeom>
                    <a:ln/>
                  </pic:spPr>
                </pic:pic>
              </a:graphicData>
            </a:graphic>
          </wp:inline>
        </w:drawing>
      </w:r>
    </w:p>
    <w:p w14:paraId="1601A02C" w14:textId="77777777" w:rsidR="00D21CDF" w:rsidRPr="00F14DCB" w:rsidRDefault="00D21CDF" w:rsidP="007B3BE3">
      <w:pPr>
        <w:pStyle w:val="Normal1"/>
        <w:widowControl/>
        <w:spacing w:line="240" w:lineRule="auto"/>
        <w:rPr>
          <w:rFonts w:ascii="MHeiHK-Medium" w:eastAsia="MHeiHK-Medium" w:hAnsi="MHeiHK-Medium"/>
          <w:b/>
          <w:color w:val="2C2E50"/>
          <w:sz w:val="16"/>
          <w:szCs w:val="16"/>
          <w:lang w:val="en-GB" w:eastAsia="zh-TW"/>
        </w:rPr>
      </w:pPr>
      <w:bookmarkStart w:id="0" w:name="_gjdgxs" w:colFirst="0" w:colLast="0"/>
      <w:bookmarkEnd w:id="0"/>
    </w:p>
    <w:p w14:paraId="6E5AF66F" w14:textId="4D42C80E" w:rsidR="00DD6A36" w:rsidRPr="008825D5" w:rsidRDefault="00DD6A36" w:rsidP="007B3BE3">
      <w:pPr>
        <w:pStyle w:val="Normal1"/>
        <w:widowControl/>
        <w:spacing w:line="240" w:lineRule="auto"/>
        <w:rPr>
          <w:rFonts w:ascii="MHeiHK-Medium" w:eastAsia="MHeiHK-Medium" w:hAnsi="MHeiHK-Medium"/>
          <w:b/>
          <w:color w:val="2C2E50"/>
          <w:sz w:val="26"/>
          <w:szCs w:val="26"/>
          <w:lang w:eastAsia="zh-TW"/>
        </w:rPr>
      </w:pPr>
      <w:r w:rsidRPr="008825D5">
        <w:rPr>
          <w:rFonts w:ascii="MHeiHK-Medium" w:eastAsia="MHeiHK-Medium" w:hAnsi="MHeiHK-Medium"/>
          <w:b/>
          <w:color w:val="2C2E50"/>
          <w:sz w:val="26"/>
          <w:szCs w:val="26"/>
          <w:lang w:val="en-GB" w:eastAsia="zh-TW"/>
        </w:rPr>
        <w:t>新聞稿</w:t>
      </w:r>
    </w:p>
    <w:p w14:paraId="5637A1A1" w14:textId="2044ACDD" w:rsidR="00E57FF7" w:rsidRPr="008825D5" w:rsidRDefault="000A5D5D" w:rsidP="007B3BE3">
      <w:pPr>
        <w:pStyle w:val="Normal1"/>
        <w:widowControl/>
        <w:spacing w:line="240" w:lineRule="auto"/>
        <w:rPr>
          <w:rFonts w:ascii="MHeiHK-Medium" w:eastAsia="MHeiHK-Medium" w:hAnsi="MHeiHK-Medium"/>
          <w:sz w:val="32"/>
          <w:szCs w:val="32"/>
          <w:lang w:eastAsia="zh-TW"/>
        </w:rPr>
      </w:pPr>
      <w:r w:rsidRPr="008825D5">
        <w:rPr>
          <w:rFonts w:ascii="MHeiHK-Medium" w:eastAsia="MHeiHK-Medium" w:hAnsi="MHeiHK-Medium"/>
          <w:lang w:eastAsia="zh-TW"/>
        </w:rPr>
        <w:t>香港 –</w:t>
      </w:r>
      <w:r w:rsidR="001C3BB1" w:rsidRPr="008825D5">
        <w:rPr>
          <w:rFonts w:ascii="MHeiHK-Medium" w:eastAsia="MHeiHK-Medium" w:hAnsi="MHeiHK-Medium"/>
          <w:lang w:eastAsia="zh-TW"/>
        </w:rPr>
        <w:t xml:space="preserve"> </w:t>
      </w:r>
      <w:r w:rsidR="00D1579C" w:rsidRPr="008825D5">
        <w:rPr>
          <w:rFonts w:ascii="MHeiHK-Medium" w:eastAsia="MHeiHK-Medium" w:hAnsi="MHeiHK-Medium"/>
          <w:lang w:eastAsia="zh-TW"/>
        </w:rPr>
        <w:t>2022</w:t>
      </w:r>
      <w:r w:rsidR="00D1579C" w:rsidRPr="008825D5">
        <w:rPr>
          <w:rFonts w:ascii="MHeiHK-Medium" w:eastAsia="MHeiHK-Medium" w:hAnsi="MHeiHK-Medium" w:hint="eastAsia"/>
          <w:lang w:eastAsia="zh-TW"/>
        </w:rPr>
        <w:t>年</w:t>
      </w:r>
      <w:r w:rsidR="00E166FB" w:rsidRPr="008825D5">
        <w:rPr>
          <w:rFonts w:ascii="MHeiHK-Medium" w:eastAsia="MHeiHK-Medium" w:hAnsi="MHeiHK-Medium"/>
          <w:lang w:eastAsia="zh-TW"/>
        </w:rPr>
        <w:t>1</w:t>
      </w:r>
      <w:r w:rsidR="007B3BE3">
        <w:rPr>
          <w:rFonts w:ascii="MHeiHK-Medium" w:eastAsia="MHeiHK-Medium" w:hAnsi="MHeiHK-Medium"/>
          <w:lang w:eastAsia="zh-TW"/>
        </w:rPr>
        <w:t>2</w:t>
      </w:r>
      <w:r w:rsidR="00D1579C" w:rsidRPr="008825D5">
        <w:rPr>
          <w:rFonts w:ascii="MHeiHK-Medium" w:eastAsia="MHeiHK-Medium" w:hAnsi="MHeiHK-Medium" w:hint="eastAsia"/>
          <w:lang w:eastAsia="zh-TW"/>
        </w:rPr>
        <w:t>月</w:t>
      </w:r>
      <w:r w:rsidR="007B3BE3">
        <w:rPr>
          <w:rFonts w:ascii="MHeiHK-Medium" w:eastAsia="MHeiHK-Medium" w:hAnsi="MHeiHK-Medium"/>
          <w:lang w:eastAsia="zh-TW"/>
        </w:rPr>
        <w:t>5</w:t>
      </w:r>
      <w:r w:rsidR="00D1579C" w:rsidRPr="008825D5">
        <w:rPr>
          <w:rFonts w:ascii="MHeiHK-Medium" w:eastAsia="MHeiHK-Medium" w:hAnsi="MHeiHK-Medium" w:hint="eastAsia"/>
          <w:lang w:eastAsia="zh-TW"/>
        </w:rPr>
        <w:t>日</w:t>
      </w:r>
    </w:p>
    <w:p w14:paraId="6D147017" w14:textId="77777777" w:rsidR="00820642" w:rsidRPr="00F14DCB" w:rsidRDefault="00820642" w:rsidP="007B3BE3">
      <w:pPr>
        <w:pStyle w:val="Normal1"/>
        <w:widowControl/>
        <w:pBdr>
          <w:bottom w:val="single" w:sz="6" w:space="1" w:color="auto"/>
        </w:pBdr>
        <w:spacing w:line="240" w:lineRule="auto"/>
        <w:rPr>
          <w:rFonts w:ascii="MHeiHK-Medium" w:eastAsia="MHeiHK-Medium" w:hAnsi="MHeiHK-Medium"/>
          <w:sz w:val="10"/>
          <w:szCs w:val="10"/>
          <w:lang w:eastAsia="zh-TW"/>
        </w:rPr>
      </w:pPr>
    </w:p>
    <w:p w14:paraId="23C55CDE" w14:textId="77777777" w:rsidR="007B3BE3" w:rsidRPr="007B3BE3" w:rsidRDefault="007B3BE3" w:rsidP="007B3BE3">
      <w:pPr>
        <w:pStyle w:val="Normal1"/>
        <w:pBdr>
          <w:bottom w:val="single" w:sz="6" w:space="1" w:color="auto"/>
        </w:pBdr>
        <w:spacing w:line="240" w:lineRule="auto"/>
        <w:rPr>
          <w:rFonts w:ascii="MHeiHK-Medium" w:eastAsia="MHeiHK-Medium" w:hAnsi="MHeiHK-Medium"/>
          <w:b/>
          <w:color w:val="2C2E50"/>
          <w:sz w:val="24"/>
          <w:szCs w:val="24"/>
          <w:lang w:val="en-GB" w:eastAsia="zh-TW"/>
        </w:rPr>
      </w:pPr>
      <w:r w:rsidRPr="007B3BE3">
        <w:rPr>
          <w:rFonts w:ascii="MHeiHK-Medium" w:eastAsia="MHeiHK-Medium" w:hAnsi="MHeiHK-Medium" w:hint="eastAsia"/>
          <w:b/>
          <w:color w:val="2C2E50"/>
          <w:sz w:val="24"/>
          <w:szCs w:val="24"/>
          <w:lang w:val="en-GB" w:eastAsia="zh-TW"/>
        </w:rPr>
        <w:t>亞太地區最大靈活工作空間營運商之一</w:t>
      </w:r>
      <w:r w:rsidRPr="007B3BE3">
        <w:rPr>
          <w:rFonts w:ascii="MHeiHK-Medium" w:eastAsia="MHeiHK-Medium" w:hAnsi="MHeiHK-Medium"/>
          <w:b/>
          <w:color w:val="2C2E50"/>
          <w:sz w:val="24"/>
          <w:szCs w:val="24"/>
          <w:lang w:val="en-GB" w:eastAsia="zh-TW"/>
        </w:rPr>
        <w:t>The Flexi Group</w:t>
      </w:r>
      <w:r w:rsidRPr="007B3BE3">
        <w:rPr>
          <w:rFonts w:ascii="MHeiHK-Medium" w:eastAsia="MHeiHK-Medium" w:hAnsi="MHeiHK-Medium" w:hint="eastAsia"/>
          <w:b/>
          <w:color w:val="2C2E50"/>
          <w:sz w:val="24"/>
          <w:szCs w:val="24"/>
          <w:lang w:val="en-GB" w:eastAsia="zh-TW"/>
        </w:rPr>
        <w:t>將與曾氏集團旗下</w:t>
      </w:r>
    </w:p>
    <w:p w14:paraId="2EF61AAB" w14:textId="3E199E6A" w:rsidR="00BB222A" w:rsidRPr="008825D5" w:rsidRDefault="007B3BE3" w:rsidP="007B3BE3">
      <w:pPr>
        <w:pStyle w:val="Normal1"/>
        <w:widowControl/>
        <w:pBdr>
          <w:bottom w:val="single" w:sz="6" w:space="1" w:color="auto"/>
        </w:pBdr>
        <w:spacing w:line="240" w:lineRule="auto"/>
        <w:rPr>
          <w:rFonts w:ascii="MHeiHK-Medium" w:eastAsia="MHeiHK-Medium" w:hAnsi="MHeiHK-Medium"/>
          <w:b/>
          <w:color w:val="2C2E50"/>
          <w:sz w:val="24"/>
          <w:szCs w:val="24"/>
          <w:lang w:val="en-GB" w:eastAsia="zh-TW"/>
        </w:rPr>
      </w:pPr>
      <w:r w:rsidRPr="007B3BE3">
        <w:rPr>
          <w:rFonts w:ascii="MHeiHK-Medium" w:eastAsia="MHeiHK-Medium" w:hAnsi="MHeiHK-Medium"/>
          <w:b/>
          <w:color w:val="2C2E50"/>
          <w:sz w:val="24"/>
          <w:szCs w:val="24"/>
          <w:lang w:val="en-GB" w:eastAsia="zh-TW"/>
        </w:rPr>
        <w:t>TG Venture Acquisition Corp.</w:t>
      </w:r>
      <w:r w:rsidRPr="007B3BE3">
        <w:rPr>
          <w:rFonts w:ascii="MHeiHK-Medium" w:eastAsia="MHeiHK-Medium" w:hAnsi="MHeiHK-Medium" w:hint="eastAsia"/>
          <w:b/>
          <w:color w:val="2C2E50"/>
          <w:sz w:val="24"/>
          <w:szCs w:val="24"/>
          <w:lang w:val="en-GB" w:eastAsia="zh-TW"/>
        </w:rPr>
        <w:t>特殊項目收購公司合併後上市</w:t>
      </w:r>
    </w:p>
    <w:p w14:paraId="1D1A1B34" w14:textId="77777777" w:rsidR="002D3A9D" w:rsidRPr="00F14DCB" w:rsidRDefault="002D3A9D" w:rsidP="007B3BE3">
      <w:pPr>
        <w:pStyle w:val="Normal1"/>
        <w:widowControl/>
        <w:pBdr>
          <w:bottom w:val="single" w:sz="6" w:space="1" w:color="auto"/>
        </w:pBdr>
        <w:spacing w:line="240" w:lineRule="auto"/>
        <w:rPr>
          <w:rFonts w:ascii="MHeiHK-Medium" w:eastAsia="MHeiHK-Medium" w:hAnsi="MHeiHK-Medium"/>
          <w:b/>
          <w:color w:val="00123A"/>
          <w:sz w:val="16"/>
          <w:szCs w:val="16"/>
          <w:lang w:val="en-GB" w:eastAsia="zh-TW"/>
        </w:rPr>
      </w:pPr>
    </w:p>
    <w:p w14:paraId="3C7888C5" w14:textId="77777777" w:rsidR="00820642" w:rsidRPr="00F14DCB" w:rsidRDefault="00820642" w:rsidP="007B3B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HeiHK-Medium" w:eastAsia="MHeiHK-Medium" w:hAnsi="MHeiHK-Medium"/>
          <w:sz w:val="16"/>
          <w:szCs w:val="16"/>
        </w:rPr>
      </w:pPr>
    </w:p>
    <w:p w14:paraId="624CDD29" w14:textId="77777777" w:rsidR="007B3BE3" w:rsidRPr="007B3BE3" w:rsidRDefault="007B3BE3" w:rsidP="007B3BE3">
      <w:pPr>
        <w:pStyle w:val="Normal1"/>
        <w:snapToGrid w:val="0"/>
        <w:spacing w:line="240" w:lineRule="auto"/>
        <w:jc w:val="center"/>
        <w:rPr>
          <w:rFonts w:ascii="MHeiHK-Medium" w:eastAsia="MHeiHK-Medium" w:hAnsi="MHeiHK-Medium" w:cs="Times New Roman"/>
          <w:i/>
          <w:iCs/>
          <w:lang w:eastAsia="zh-TW"/>
        </w:rPr>
      </w:pPr>
      <w:r w:rsidRPr="007B3BE3">
        <w:rPr>
          <w:rFonts w:ascii="MHeiHK-Medium" w:eastAsia="MHeiHK-Medium" w:hAnsi="MHeiHK-Medium" w:cs="Times New Roman"/>
          <w:i/>
          <w:iCs/>
          <w:lang w:eastAsia="zh-TW"/>
        </w:rPr>
        <w:t>The Flexi Group</w:t>
      </w:r>
      <w:r w:rsidRPr="007B3BE3">
        <w:rPr>
          <w:rFonts w:ascii="MHeiHK-Medium" w:eastAsia="MHeiHK-Medium" w:hAnsi="MHeiHK-Medium" w:cs="Times New Roman" w:hint="eastAsia"/>
          <w:i/>
          <w:iCs/>
          <w:lang w:eastAsia="zh-TW"/>
        </w:rPr>
        <w:t>旗下品牌包括</w:t>
      </w:r>
      <w:r w:rsidRPr="007B3BE3">
        <w:rPr>
          <w:rFonts w:ascii="MHeiHK-Medium" w:eastAsia="MHeiHK-Medium" w:hAnsi="MHeiHK-Medium" w:cs="Times New Roman"/>
          <w:i/>
          <w:iCs/>
          <w:lang w:eastAsia="zh-TW"/>
        </w:rPr>
        <w:t>Hive</w:t>
      </w:r>
      <w:r w:rsidRPr="007B3BE3">
        <w:rPr>
          <w:rFonts w:ascii="MHeiHK-Medium" w:eastAsia="MHeiHK-Medium" w:hAnsi="MHeiHK-Medium" w:cs="Times New Roman" w:hint="eastAsia"/>
          <w:i/>
          <w:iCs/>
          <w:lang w:eastAsia="zh-TW"/>
        </w:rPr>
        <w:t>、</w:t>
      </w:r>
      <w:r w:rsidRPr="007B3BE3">
        <w:rPr>
          <w:rFonts w:ascii="MHeiHK-Medium" w:eastAsia="MHeiHK-Medium" w:hAnsi="MHeiHK-Medium" w:cs="Times New Roman"/>
          <w:i/>
          <w:iCs/>
          <w:lang w:eastAsia="zh-TW"/>
        </w:rPr>
        <w:t>Common Ground</w:t>
      </w:r>
      <w:r w:rsidRPr="007B3BE3">
        <w:rPr>
          <w:rFonts w:ascii="MHeiHK-Medium" w:eastAsia="MHeiHK-Medium" w:hAnsi="MHeiHK-Medium" w:cs="Times New Roman" w:hint="eastAsia"/>
          <w:i/>
          <w:iCs/>
          <w:lang w:eastAsia="zh-TW"/>
        </w:rPr>
        <w:t>和</w:t>
      </w:r>
      <w:r w:rsidRPr="007B3BE3">
        <w:rPr>
          <w:rFonts w:ascii="MHeiHK-Medium" w:eastAsia="MHeiHK-Medium" w:hAnsi="MHeiHK-Medium" w:cs="Times New Roman"/>
          <w:i/>
          <w:iCs/>
          <w:lang w:eastAsia="zh-TW"/>
        </w:rPr>
        <w:t>The Cluster</w:t>
      </w:r>
      <w:r w:rsidRPr="007B3BE3">
        <w:rPr>
          <w:rFonts w:ascii="MHeiHK-Medium" w:eastAsia="MHeiHK-Medium" w:hAnsi="MHeiHK-Medium" w:cs="Times New Roman" w:hint="eastAsia"/>
          <w:i/>
          <w:iCs/>
          <w:lang w:eastAsia="zh-TW"/>
        </w:rPr>
        <w:t>，</w:t>
      </w:r>
    </w:p>
    <w:p w14:paraId="39CD63E8" w14:textId="77777777" w:rsidR="007B3BE3" w:rsidRPr="007B3BE3" w:rsidRDefault="007B3BE3" w:rsidP="007B3BE3">
      <w:pPr>
        <w:pStyle w:val="Normal1"/>
        <w:snapToGrid w:val="0"/>
        <w:spacing w:line="240" w:lineRule="auto"/>
        <w:jc w:val="center"/>
        <w:rPr>
          <w:rFonts w:ascii="MHeiHK-Medium" w:eastAsia="MHeiHK-Medium" w:hAnsi="MHeiHK-Medium" w:cs="Times New Roman"/>
          <w:i/>
          <w:iCs/>
          <w:lang w:eastAsia="zh-TW"/>
        </w:rPr>
      </w:pPr>
      <w:r w:rsidRPr="007B3BE3">
        <w:rPr>
          <w:rFonts w:ascii="MHeiHK-Medium" w:eastAsia="MHeiHK-Medium" w:hAnsi="MHeiHK-Medium" w:cs="Times New Roman" w:hint="eastAsia"/>
          <w:i/>
          <w:iCs/>
          <w:lang w:eastAsia="zh-TW"/>
        </w:rPr>
        <w:t>於亞洲和澳洲</w:t>
      </w:r>
      <w:r w:rsidRPr="007B3BE3">
        <w:rPr>
          <w:rFonts w:ascii="MHeiHK-Medium" w:eastAsia="MHeiHK-Medium" w:hAnsi="MHeiHK-Medium" w:cs="Times New Roman"/>
          <w:i/>
          <w:iCs/>
          <w:lang w:eastAsia="zh-TW"/>
        </w:rPr>
        <w:t>9</w:t>
      </w:r>
      <w:r w:rsidRPr="007B3BE3">
        <w:rPr>
          <w:rFonts w:ascii="MHeiHK-Medium" w:eastAsia="MHeiHK-Medium" w:hAnsi="MHeiHK-Medium" w:cs="Times New Roman" w:hint="eastAsia"/>
          <w:i/>
          <w:iCs/>
          <w:lang w:eastAsia="zh-TW"/>
        </w:rPr>
        <w:t>個國家的</w:t>
      </w:r>
      <w:r w:rsidRPr="007B3BE3">
        <w:rPr>
          <w:rFonts w:ascii="MHeiHK-Medium" w:eastAsia="MHeiHK-Medium" w:hAnsi="MHeiHK-Medium" w:cs="Times New Roman"/>
          <w:i/>
          <w:iCs/>
          <w:lang w:eastAsia="zh-TW"/>
        </w:rPr>
        <w:t>12</w:t>
      </w:r>
      <w:r w:rsidRPr="007B3BE3">
        <w:rPr>
          <w:rFonts w:ascii="MHeiHK-Medium" w:eastAsia="MHeiHK-Medium" w:hAnsi="MHeiHK-Medium" w:cs="Times New Roman" w:hint="eastAsia"/>
          <w:i/>
          <w:iCs/>
          <w:lang w:eastAsia="zh-TW"/>
        </w:rPr>
        <w:t>個城市中管理著</w:t>
      </w:r>
      <w:r w:rsidRPr="007B3BE3">
        <w:rPr>
          <w:rFonts w:ascii="MHeiHK-Medium" w:eastAsia="MHeiHK-Medium" w:hAnsi="MHeiHK-Medium" w:cs="Times New Roman"/>
          <w:i/>
          <w:iCs/>
          <w:lang w:eastAsia="zh-TW"/>
        </w:rPr>
        <w:t>45</w:t>
      </w:r>
      <w:r w:rsidRPr="007B3BE3">
        <w:rPr>
          <w:rFonts w:ascii="MHeiHK-Medium" w:eastAsia="MHeiHK-Medium" w:hAnsi="MHeiHK-Medium" w:cs="Times New Roman" w:hint="eastAsia"/>
          <w:i/>
          <w:iCs/>
          <w:lang w:eastAsia="zh-TW"/>
        </w:rPr>
        <w:t>個工作空間地點</w:t>
      </w:r>
    </w:p>
    <w:p w14:paraId="750FB2DF" w14:textId="77777777" w:rsidR="007B3BE3" w:rsidRPr="007B3BE3" w:rsidRDefault="007B3BE3" w:rsidP="007B3BE3">
      <w:pPr>
        <w:pStyle w:val="Normal1"/>
        <w:snapToGrid w:val="0"/>
        <w:spacing w:line="240" w:lineRule="auto"/>
        <w:jc w:val="center"/>
        <w:rPr>
          <w:rFonts w:ascii="MHeiHK-Medium" w:eastAsia="MHeiHK-Medium" w:hAnsi="MHeiHK-Medium" w:cs="Times New Roman"/>
          <w:i/>
          <w:iCs/>
          <w:lang w:eastAsia="zh-TW"/>
        </w:rPr>
      </w:pPr>
      <w:r w:rsidRPr="007B3BE3">
        <w:rPr>
          <w:rFonts w:ascii="MHeiHK-Medium" w:eastAsia="MHeiHK-Medium" w:hAnsi="MHeiHK-Medium" w:cs="Times New Roman"/>
          <w:i/>
          <w:iCs/>
          <w:lang w:eastAsia="zh-TW"/>
        </w:rPr>
        <w:t>The Flexi Group</w:t>
      </w:r>
      <w:r w:rsidRPr="007B3BE3">
        <w:rPr>
          <w:rFonts w:ascii="MHeiHK-Medium" w:eastAsia="MHeiHK-Medium" w:hAnsi="MHeiHK-Medium" w:cs="Times New Roman" w:hint="eastAsia"/>
          <w:i/>
          <w:iCs/>
          <w:lang w:eastAsia="zh-TW"/>
        </w:rPr>
        <w:t>合併價值的企業價值估算為</w:t>
      </w:r>
      <w:r w:rsidRPr="007B3BE3">
        <w:rPr>
          <w:rFonts w:ascii="MHeiHK-Medium" w:eastAsia="MHeiHK-Medium" w:hAnsi="MHeiHK-Medium" w:cs="Times New Roman"/>
          <w:i/>
          <w:iCs/>
          <w:lang w:eastAsia="zh-TW"/>
        </w:rPr>
        <w:t>2</w:t>
      </w:r>
      <w:r w:rsidRPr="007B3BE3">
        <w:rPr>
          <w:rFonts w:ascii="MHeiHK-Medium" w:eastAsia="MHeiHK-Medium" w:hAnsi="MHeiHK-Medium" w:cs="Times New Roman" w:hint="eastAsia"/>
          <w:i/>
          <w:iCs/>
          <w:lang w:eastAsia="zh-TW"/>
        </w:rPr>
        <w:t>億</w:t>
      </w:r>
      <w:r w:rsidRPr="007B3BE3">
        <w:rPr>
          <w:rFonts w:ascii="MHeiHK-Medium" w:eastAsia="MHeiHK-Medium" w:hAnsi="MHeiHK-Medium" w:cs="Times New Roman"/>
          <w:i/>
          <w:iCs/>
          <w:lang w:eastAsia="zh-TW"/>
        </w:rPr>
        <w:t>5</w:t>
      </w:r>
      <w:r w:rsidRPr="007B3BE3">
        <w:rPr>
          <w:rFonts w:ascii="MHeiHK-Medium" w:eastAsia="MHeiHK-Medium" w:hAnsi="MHeiHK-Medium" w:cs="Times New Roman" w:hint="eastAsia"/>
          <w:i/>
          <w:iCs/>
          <w:lang w:eastAsia="zh-TW"/>
        </w:rPr>
        <w:t>百萬美元</w:t>
      </w:r>
    </w:p>
    <w:p w14:paraId="29F00EFE" w14:textId="77777777" w:rsidR="007B3BE3" w:rsidRDefault="007B3BE3" w:rsidP="007B3BE3">
      <w:pPr>
        <w:pStyle w:val="Normal1"/>
        <w:snapToGrid w:val="0"/>
        <w:spacing w:line="240" w:lineRule="auto"/>
        <w:rPr>
          <w:rFonts w:ascii="MHeiHK-Medium" w:eastAsia="MHeiHK-Medium" w:hAnsi="MHeiHK-Medium" w:cs="Times New Roman"/>
          <w:lang w:eastAsia="zh-TW"/>
        </w:rPr>
      </w:pPr>
    </w:p>
    <w:p w14:paraId="19489794" w14:textId="77777777" w:rsidR="007B3BE3" w:rsidRDefault="007B3BE3" w:rsidP="007B3BE3">
      <w:pPr>
        <w:pStyle w:val="Normal1"/>
        <w:snapToGrid w:val="0"/>
        <w:spacing w:line="240" w:lineRule="auto"/>
        <w:rPr>
          <w:rFonts w:ascii="MHeiHK-Medium" w:eastAsia="MHeiHK-Medium" w:hAnsi="MHeiHK-Medium" w:cs="Times New Roman"/>
          <w:lang w:eastAsia="zh-TW"/>
        </w:rPr>
      </w:pPr>
      <w:r w:rsidRPr="007B3BE3">
        <w:rPr>
          <w:rFonts w:ascii="MHeiHK-Medium" w:eastAsia="MHeiHK-Medium" w:hAnsi="MHeiHK-Medium" w:cs="Times New Roman" w:hint="eastAsia"/>
          <w:lang w:eastAsia="zh-TW"/>
        </w:rPr>
        <w:t>亞洲最大的靈活工作空間運營商之一</w:t>
      </w:r>
      <w:r w:rsidRPr="007B3BE3">
        <w:rPr>
          <w:rFonts w:ascii="MHeiHK-Medium" w:eastAsia="MHeiHK-Medium" w:hAnsi="MHeiHK-Medium" w:cs="Times New Roman"/>
          <w:lang w:eastAsia="zh-TW"/>
        </w:rPr>
        <w:t>The Flexi Group Holdings Ltd.</w:t>
      </w:r>
      <w:r w:rsidRPr="007B3BE3">
        <w:rPr>
          <w:rFonts w:ascii="MHeiHK-Medium" w:eastAsia="MHeiHK-Medium" w:hAnsi="MHeiHK-Medium" w:cs="Times New Roman" w:hint="eastAsia"/>
          <w:lang w:eastAsia="zh-TW"/>
        </w:rPr>
        <w:t>（「</w:t>
      </w:r>
      <w:r w:rsidRPr="007B3BE3">
        <w:rPr>
          <w:rFonts w:ascii="MHeiHK-Medium" w:eastAsia="MHeiHK-Medium" w:hAnsi="MHeiHK-Medium" w:cs="Times New Roman"/>
          <w:lang w:eastAsia="zh-TW"/>
        </w:rPr>
        <w:t>The Flexi Group</w:t>
      </w:r>
      <w:r w:rsidRPr="007B3BE3">
        <w:rPr>
          <w:rFonts w:ascii="MHeiHK-Medium" w:eastAsia="MHeiHK-Medium" w:hAnsi="MHeiHK-Medium" w:cs="Times New Roman" w:hint="eastAsia"/>
          <w:lang w:eastAsia="zh-TW"/>
        </w:rPr>
        <w:t>」或「公司」）和</w:t>
      </w:r>
      <w:r w:rsidRPr="007B3BE3">
        <w:rPr>
          <w:rFonts w:ascii="MHeiHK-Medium" w:eastAsia="MHeiHK-Medium" w:hAnsi="MHeiHK-Medium" w:cs="Times New Roman"/>
          <w:lang w:eastAsia="zh-TW"/>
        </w:rPr>
        <w:t>TG Venture Acquisition Corp.</w:t>
      </w:r>
      <w:r w:rsidRPr="007B3BE3">
        <w:rPr>
          <w:rFonts w:ascii="MHeiHK-Medium" w:eastAsia="MHeiHK-Medium" w:hAnsi="MHeiHK-Medium" w:cs="Times New Roman" w:hint="eastAsia"/>
          <w:lang w:eastAsia="zh-TW"/>
        </w:rPr>
        <w:t>（納斯達克代碼：</w:t>
      </w:r>
      <w:r w:rsidRPr="007B3BE3">
        <w:rPr>
          <w:rFonts w:ascii="MHeiHK-Medium" w:eastAsia="MHeiHK-Medium" w:hAnsi="MHeiHK-Medium" w:cs="Times New Roman"/>
          <w:lang w:eastAsia="zh-TW"/>
        </w:rPr>
        <w:t>TGVC</w:t>
      </w:r>
      <w:r w:rsidRPr="007B3BE3">
        <w:rPr>
          <w:rFonts w:ascii="MHeiHK-Medium" w:eastAsia="MHeiHK-Medium" w:hAnsi="MHeiHK-Medium" w:cs="Times New Roman" w:hint="eastAsia"/>
          <w:lang w:eastAsia="zh-TW"/>
        </w:rPr>
        <w:t>和</w:t>
      </w:r>
      <w:r w:rsidRPr="007B3BE3">
        <w:rPr>
          <w:rFonts w:ascii="MHeiHK-Medium" w:eastAsia="MHeiHK-Medium" w:hAnsi="MHeiHK-Medium" w:cs="Times New Roman"/>
          <w:lang w:eastAsia="zh-TW"/>
        </w:rPr>
        <w:t>TGVCW</w:t>
      </w:r>
      <w:r w:rsidRPr="007B3BE3">
        <w:rPr>
          <w:rFonts w:ascii="MHeiHK-Medium" w:eastAsia="MHeiHK-Medium" w:hAnsi="MHeiHK-Medium" w:cs="Times New Roman" w:hint="eastAsia"/>
          <w:lang w:eastAsia="zh-TW"/>
        </w:rPr>
        <w:t>）（「</w:t>
      </w:r>
      <w:r w:rsidRPr="007B3BE3">
        <w:rPr>
          <w:rFonts w:ascii="MHeiHK-Medium" w:eastAsia="MHeiHK-Medium" w:hAnsi="MHeiHK-Medium" w:cs="Times New Roman"/>
          <w:lang w:eastAsia="zh-TW"/>
        </w:rPr>
        <w:t>TGVC</w:t>
      </w:r>
      <w:r w:rsidRPr="007B3BE3">
        <w:rPr>
          <w:rFonts w:ascii="MHeiHK-Medium" w:eastAsia="MHeiHK-Medium" w:hAnsi="MHeiHK-Medium" w:cs="Times New Roman" w:hint="eastAsia"/>
          <w:lang w:eastAsia="zh-TW"/>
        </w:rPr>
        <w:t>」），一家由曾氏集團發起的特殊項目收購公司，今日宣布，他們已達成最終的企業合併協議，這將使</w:t>
      </w:r>
      <w:r w:rsidRPr="007B3BE3">
        <w:rPr>
          <w:rFonts w:ascii="MHeiHK-Medium" w:eastAsia="MHeiHK-Medium" w:hAnsi="MHeiHK-Medium" w:cs="Times New Roman"/>
          <w:lang w:eastAsia="zh-TW"/>
        </w:rPr>
        <w:t>The Flexi Group</w:t>
      </w:r>
      <w:r w:rsidRPr="007B3BE3">
        <w:rPr>
          <w:rFonts w:ascii="MHeiHK-Medium" w:eastAsia="MHeiHK-Medium" w:hAnsi="MHeiHK-Medium" w:cs="Times New Roman" w:hint="eastAsia"/>
          <w:lang w:eastAsia="zh-TW"/>
        </w:rPr>
        <w:t>在合併後最終成為一家上市公司。</w:t>
      </w:r>
    </w:p>
    <w:p w14:paraId="407BB2DB" w14:textId="77777777" w:rsidR="007B3BE3" w:rsidRDefault="007B3BE3" w:rsidP="007B3BE3">
      <w:pPr>
        <w:pStyle w:val="Normal1"/>
        <w:snapToGrid w:val="0"/>
        <w:spacing w:line="240" w:lineRule="auto"/>
        <w:rPr>
          <w:rFonts w:ascii="MHeiHK-Medium" w:eastAsia="MHeiHK-Medium" w:hAnsi="MHeiHK-Medium" w:cs="Times New Roman"/>
          <w:lang w:eastAsia="zh-TW"/>
        </w:rPr>
      </w:pPr>
    </w:p>
    <w:p w14:paraId="2D23C288" w14:textId="3472E73D" w:rsidR="007B3BE3" w:rsidRDefault="007B3BE3" w:rsidP="007B3BE3">
      <w:pPr>
        <w:pStyle w:val="Normal1"/>
        <w:snapToGrid w:val="0"/>
        <w:spacing w:line="240" w:lineRule="auto"/>
        <w:rPr>
          <w:rFonts w:ascii="MHeiHK-Medium" w:eastAsia="MHeiHK-Medium" w:hAnsi="MHeiHK-Medium" w:cs="Times New Roman"/>
          <w:lang w:eastAsia="zh-TW"/>
        </w:rPr>
      </w:pPr>
      <w:r w:rsidRPr="007B3BE3">
        <w:rPr>
          <w:rFonts w:ascii="MHeiHK-Medium" w:eastAsia="MHeiHK-Medium" w:hAnsi="MHeiHK-Medium" w:cs="Times New Roman" w:hint="eastAsia"/>
          <w:lang w:eastAsia="zh-TW"/>
        </w:rPr>
        <w:t>該交易預計將於</w:t>
      </w:r>
      <w:r w:rsidRPr="007B3BE3">
        <w:rPr>
          <w:rFonts w:ascii="MHeiHK-Medium" w:eastAsia="MHeiHK-Medium" w:hAnsi="MHeiHK-Medium" w:cs="Times New Roman"/>
          <w:lang w:eastAsia="zh-TW"/>
        </w:rPr>
        <w:t>2023</w:t>
      </w:r>
      <w:r w:rsidRPr="007B3BE3">
        <w:rPr>
          <w:rFonts w:ascii="MHeiHK-Medium" w:eastAsia="MHeiHK-Medium" w:hAnsi="MHeiHK-Medium" w:cs="Times New Roman" w:hint="eastAsia"/>
          <w:lang w:eastAsia="zh-TW"/>
        </w:rPr>
        <w:t>年第二季度完成，但需先獲得監管部門的批准和滿足其他一般成交條件。交易完成後，</w:t>
      </w:r>
      <w:r w:rsidRPr="007B3BE3">
        <w:rPr>
          <w:rFonts w:ascii="MHeiHK-Medium" w:eastAsia="MHeiHK-Medium" w:hAnsi="MHeiHK-Medium" w:cs="Times New Roman"/>
          <w:lang w:eastAsia="zh-TW"/>
        </w:rPr>
        <w:t>The Flexi Group</w:t>
      </w:r>
      <w:r w:rsidRPr="007B3BE3">
        <w:rPr>
          <w:rFonts w:ascii="MHeiHK-Medium" w:eastAsia="MHeiHK-Medium" w:hAnsi="MHeiHK-Medium" w:cs="Times New Roman" w:hint="eastAsia"/>
          <w:lang w:eastAsia="zh-TW"/>
        </w:rPr>
        <w:t>的普通股將會在納斯達克證券市場有限責任公司上市，股票代碼為「</w:t>
      </w:r>
      <w:r w:rsidRPr="007B3BE3">
        <w:rPr>
          <w:rFonts w:ascii="MHeiHK-Medium" w:eastAsia="MHeiHK-Medium" w:hAnsi="MHeiHK-Medium" w:cs="Times New Roman"/>
          <w:lang w:eastAsia="zh-TW"/>
        </w:rPr>
        <w:t>FLXG</w:t>
      </w:r>
      <w:r w:rsidRPr="007B3BE3">
        <w:rPr>
          <w:rFonts w:ascii="MHeiHK-Medium" w:eastAsia="MHeiHK-Medium" w:hAnsi="MHeiHK-Medium" w:cs="Times New Roman" w:hint="eastAsia"/>
          <w:lang w:eastAsia="zh-TW"/>
        </w:rPr>
        <w:t>」。</w:t>
      </w:r>
    </w:p>
    <w:p w14:paraId="371DD9CA" w14:textId="77777777" w:rsidR="007B3BE3" w:rsidRPr="007B3BE3" w:rsidRDefault="007B3BE3" w:rsidP="007B3BE3">
      <w:pPr>
        <w:pStyle w:val="Normal1"/>
        <w:snapToGrid w:val="0"/>
        <w:spacing w:line="240" w:lineRule="auto"/>
        <w:rPr>
          <w:rFonts w:ascii="MHeiHK-Medium" w:eastAsia="MHeiHK-Medium" w:hAnsi="MHeiHK-Medium" w:cs="Times New Roman" w:hint="eastAsia"/>
          <w:lang w:eastAsia="zh-TW"/>
        </w:rPr>
      </w:pPr>
    </w:p>
    <w:p w14:paraId="4FEAA91B" w14:textId="0F38F0EE" w:rsidR="007B3BE3" w:rsidRDefault="007B3BE3" w:rsidP="007B3BE3">
      <w:pPr>
        <w:pStyle w:val="Normal1"/>
        <w:snapToGrid w:val="0"/>
        <w:spacing w:line="240" w:lineRule="auto"/>
        <w:rPr>
          <w:rFonts w:ascii="MHeiHK-Medium" w:eastAsia="MHeiHK-Medium" w:hAnsi="MHeiHK-Medium" w:cs="Times New Roman"/>
          <w:lang w:eastAsia="zh-TW"/>
        </w:rPr>
      </w:pPr>
      <w:r w:rsidRPr="007B3BE3">
        <w:rPr>
          <w:rFonts w:ascii="MHeiHK-Medium" w:eastAsia="MHeiHK-Medium" w:hAnsi="MHeiHK-Medium" w:cs="Times New Roman"/>
          <w:lang w:eastAsia="zh-TW"/>
        </w:rPr>
        <w:t>The Flexi Group</w:t>
      </w:r>
      <w:r w:rsidRPr="007B3BE3">
        <w:rPr>
          <w:rFonts w:ascii="MHeiHK-Medium" w:eastAsia="MHeiHK-Medium" w:hAnsi="MHeiHK-Medium" w:cs="Times New Roman" w:hint="eastAsia"/>
          <w:lang w:eastAsia="zh-TW"/>
        </w:rPr>
        <w:t>由三個領先品牌於</w:t>
      </w:r>
      <w:r w:rsidRPr="007B3BE3">
        <w:rPr>
          <w:rFonts w:ascii="MHeiHK-Medium" w:eastAsia="MHeiHK-Medium" w:hAnsi="MHeiHK-Medium" w:cs="Times New Roman"/>
          <w:lang w:eastAsia="zh-TW"/>
        </w:rPr>
        <w:t>2022</w:t>
      </w:r>
      <w:r w:rsidRPr="007B3BE3">
        <w:rPr>
          <w:rFonts w:ascii="MHeiHK-Medium" w:eastAsia="MHeiHK-Medium" w:hAnsi="MHeiHK-Medium" w:cs="Times New Roman" w:hint="eastAsia"/>
          <w:lang w:eastAsia="zh-TW"/>
        </w:rPr>
        <w:t>年合併而成，集團在設計、建設及營運靈活工作空間方面，於亞洲和澳洲擁有共</w:t>
      </w:r>
      <w:r w:rsidRPr="007B3BE3">
        <w:rPr>
          <w:rFonts w:ascii="MHeiHK-Medium" w:eastAsia="MHeiHK-Medium" w:hAnsi="MHeiHK-Medium" w:cs="Times New Roman"/>
          <w:lang w:eastAsia="zh-TW"/>
        </w:rPr>
        <w:t>25</w:t>
      </w:r>
      <w:r w:rsidRPr="007B3BE3">
        <w:rPr>
          <w:rFonts w:ascii="MHeiHK-Medium" w:eastAsia="MHeiHK-Medium" w:hAnsi="MHeiHK-Medium" w:cs="Times New Roman" w:hint="eastAsia"/>
          <w:lang w:eastAsia="zh-TW"/>
        </w:rPr>
        <w:t>年經驗。他們現為亞太地區最具規模的營運商之一，足跡遍布</w:t>
      </w:r>
      <w:r w:rsidRPr="007B3BE3">
        <w:rPr>
          <w:rFonts w:ascii="MHeiHK-Medium" w:eastAsia="MHeiHK-Medium" w:hAnsi="MHeiHK-Medium" w:cs="Times New Roman"/>
          <w:lang w:eastAsia="zh-TW"/>
        </w:rPr>
        <w:t>9</w:t>
      </w:r>
      <w:r w:rsidRPr="007B3BE3">
        <w:rPr>
          <w:rFonts w:ascii="MHeiHK-Medium" w:eastAsia="MHeiHK-Medium" w:hAnsi="MHeiHK-Medium" w:cs="Times New Roman" w:hint="eastAsia"/>
          <w:lang w:eastAsia="zh-TW"/>
        </w:rPr>
        <w:t>個國家及地區、</w:t>
      </w:r>
      <w:r w:rsidRPr="007B3BE3">
        <w:rPr>
          <w:rFonts w:ascii="MHeiHK-Medium" w:eastAsia="MHeiHK-Medium" w:hAnsi="MHeiHK-Medium" w:cs="Times New Roman"/>
          <w:lang w:eastAsia="zh-TW"/>
        </w:rPr>
        <w:t>12</w:t>
      </w:r>
      <w:r w:rsidRPr="007B3BE3">
        <w:rPr>
          <w:rFonts w:ascii="MHeiHK-Medium" w:eastAsia="MHeiHK-Medium" w:hAnsi="MHeiHK-Medium" w:cs="Times New Roman" w:hint="eastAsia"/>
          <w:lang w:eastAsia="zh-TW"/>
        </w:rPr>
        <w:t>個城市共</w:t>
      </w:r>
      <w:r w:rsidRPr="007B3BE3">
        <w:rPr>
          <w:rFonts w:ascii="MHeiHK-Medium" w:eastAsia="MHeiHK-Medium" w:hAnsi="MHeiHK-Medium" w:cs="Times New Roman"/>
          <w:lang w:eastAsia="zh-TW"/>
        </w:rPr>
        <w:t>45</w:t>
      </w:r>
      <w:r w:rsidRPr="007B3BE3">
        <w:rPr>
          <w:rFonts w:ascii="MHeiHK-Medium" w:eastAsia="MHeiHK-Medium" w:hAnsi="MHeiHK-Medium" w:cs="Times New Roman" w:hint="eastAsia"/>
          <w:lang w:eastAsia="zh-TW"/>
        </w:rPr>
        <w:t>個地點，包括澳洲、新加坡、馬來西亞、香港、泰國、菲律賓、台灣、越南和日本。</w:t>
      </w:r>
    </w:p>
    <w:p w14:paraId="167F8612" w14:textId="77777777" w:rsidR="007B3BE3" w:rsidRPr="007B3BE3" w:rsidRDefault="007B3BE3" w:rsidP="007B3BE3">
      <w:pPr>
        <w:pStyle w:val="Normal1"/>
        <w:snapToGrid w:val="0"/>
        <w:spacing w:line="240" w:lineRule="auto"/>
        <w:rPr>
          <w:rFonts w:ascii="MHeiHK-Medium" w:eastAsia="MHeiHK-Medium" w:hAnsi="MHeiHK-Medium" w:cs="Times New Roman" w:hint="eastAsia"/>
          <w:lang w:eastAsia="zh-TW"/>
        </w:rPr>
      </w:pPr>
    </w:p>
    <w:p w14:paraId="78665882" w14:textId="35472F71" w:rsidR="007B3BE3" w:rsidRDefault="007B3BE3" w:rsidP="007B3BE3">
      <w:pPr>
        <w:pStyle w:val="Normal1"/>
        <w:snapToGrid w:val="0"/>
        <w:spacing w:line="240" w:lineRule="auto"/>
        <w:rPr>
          <w:rFonts w:ascii="MHeiHK-Medium" w:eastAsia="MHeiHK-Medium" w:hAnsi="MHeiHK-Medium" w:cs="Times New Roman"/>
          <w:lang w:eastAsia="zh-TW"/>
        </w:rPr>
      </w:pPr>
      <w:r w:rsidRPr="007B3BE3">
        <w:rPr>
          <w:rFonts w:ascii="MHeiHK-Medium" w:eastAsia="MHeiHK-Medium" w:hAnsi="MHeiHK-Medium" w:cs="Times New Roman" w:hint="eastAsia"/>
          <w:lang w:eastAsia="zh-TW"/>
        </w:rPr>
        <w:t>與其他靈活工作空間運營商不同，</w:t>
      </w:r>
      <w:r w:rsidRPr="007B3BE3">
        <w:rPr>
          <w:rFonts w:ascii="MHeiHK-Medium" w:eastAsia="MHeiHK-Medium" w:hAnsi="MHeiHK-Medium" w:cs="Times New Roman"/>
          <w:lang w:eastAsia="zh-TW"/>
        </w:rPr>
        <w:t>The Flexi Group</w:t>
      </w:r>
      <w:r w:rsidRPr="007B3BE3">
        <w:rPr>
          <w:rFonts w:ascii="MHeiHK-Medium" w:eastAsia="MHeiHK-Medium" w:hAnsi="MHeiHK-Medium" w:cs="Times New Roman" w:hint="eastAsia"/>
          <w:lang w:eastAsia="zh-TW"/>
        </w:rPr>
        <w:t>採取輕資產方式，與業主合作建立合資企業，而不是簽訂租賃協議，避免因而有可能衍生的龐大財務責任。與</w:t>
      </w:r>
      <w:r w:rsidRPr="007B3BE3">
        <w:rPr>
          <w:rFonts w:ascii="MHeiHK-Medium" w:eastAsia="MHeiHK-Medium" w:hAnsi="MHeiHK-Medium" w:cs="Times New Roman"/>
          <w:lang w:eastAsia="zh-TW"/>
        </w:rPr>
        <w:t>The Flexi Group</w:t>
      </w:r>
      <w:r w:rsidRPr="007B3BE3">
        <w:rPr>
          <w:rFonts w:ascii="MHeiHK-Medium" w:eastAsia="MHeiHK-Medium" w:hAnsi="MHeiHK-Medium" w:cs="Times New Roman" w:hint="eastAsia"/>
          <w:lang w:eastAsia="zh-TW"/>
        </w:rPr>
        <w:t>合作，業主能向租客提供更大彈性，以及透過讓租戶參加活動、享用靈活的工作方案及可預約的會議及活動空間，從而提高租客對大廈的契合度。</w:t>
      </w:r>
    </w:p>
    <w:p w14:paraId="06F3BFCC" w14:textId="77777777" w:rsidR="007B3BE3" w:rsidRPr="007B3BE3" w:rsidRDefault="007B3BE3" w:rsidP="007B3BE3">
      <w:pPr>
        <w:pStyle w:val="Normal1"/>
        <w:snapToGrid w:val="0"/>
        <w:spacing w:line="240" w:lineRule="auto"/>
        <w:rPr>
          <w:rFonts w:ascii="MHeiHK-Medium" w:eastAsia="MHeiHK-Medium" w:hAnsi="MHeiHK-Medium" w:cs="Times New Roman" w:hint="eastAsia"/>
          <w:lang w:eastAsia="zh-TW"/>
        </w:rPr>
      </w:pPr>
    </w:p>
    <w:p w14:paraId="095E5C0E" w14:textId="50119BFF" w:rsidR="007B3BE3" w:rsidRDefault="007B3BE3" w:rsidP="007B3BE3">
      <w:pPr>
        <w:pStyle w:val="Normal1"/>
        <w:snapToGrid w:val="0"/>
        <w:spacing w:line="240" w:lineRule="auto"/>
        <w:rPr>
          <w:rFonts w:ascii="MHeiHK-Medium" w:eastAsia="MHeiHK-Medium" w:hAnsi="MHeiHK-Medium" w:cs="Times New Roman"/>
          <w:lang w:eastAsia="zh-TW"/>
        </w:rPr>
      </w:pPr>
      <w:r w:rsidRPr="007B3BE3">
        <w:rPr>
          <w:rFonts w:ascii="MHeiHK-Medium" w:eastAsia="MHeiHK-Medium" w:hAnsi="MHeiHK-Medium" w:cs="Times New Roman"/>
          <w:lang w:eastAsia="zh-TW"/>
        </w:rPr>
        <w:t>The Flexi Group</w:t>
      </w:r>
      <w:r w:rsidRPr="007B3BE3">
        <w:rPr>
          <w:rFonts w:ascii="MHeiHK-Medium" w:eastAsia="MHeiHK-Medium" w:hAnsi="MHeiHK-Medium" w:cs="Times New Roman" w:hint="eastAsia"/>
          <w:lang w:eastAsia="zh-TW"/>
        </w:rPr>
        <w:t>針對多元客群的多品牌營運方式於行業中並不常見，並因此有機會與不同定價、不同建築物、不同位置和辦公室面積大小偏好的業主開拓新的合作機會，讓各品牌於國際實現策略性增長。</w:t>
      </w:r>
    </w:p>
    <w:p w14:paraId="4E9A69E4" w14:textId="77777777" w:rsidR="007B3BE3" w:rsidRPr="007B3BE3" w:rsidRDefault="007B3BE3" w:rsidP="007B3BE3">
      <w:pPr>
        <w:pStyle w:val="Normal1"/>
        <w:snapToGrid w:val="0"/>
        <w:spacing w:line="240" w:lineRule="auto"/>
        <w:rPr>
          <w:rFonts w:ascii="MHeiHK-Medium" w:eastAsia="MHeiHK-Medium" w:hAnsi="MHeiHK-Medium" w:cs="Times New Roman" w:hint="eastAsia"/>
          <w:lang w:eastAsia="zh-TW"/>
        </w:rPr>
      </w:pPr>
    </w:p>
    <w:p w14:paraId="6627495C" w14:textId="4880FE9E" w:rsidR="00B57DBE" w:rsidRDefault="007B3BE3" w:rsidP="007B3BE3">
      <w:pPr>
        <w:pStyle w:val="Normal1"/>
        <w:snapToGrid w:val="0"/>
        <w:spacing w:line="240" w:lineRule="auto"/>
        <w:rPr>
          <w:rFonts w:ascii="MHeiHK-Medium" w:eastAsia="MHeiHK-Medium" w:hAnsi="MHeiHK-Medium" w:cs="Times New Roman"/>
          <w:lang w:eastAsia="zh-TW"/>
        </w:rPr>
      </w:pPr>
      <w:r w:rsidRPr="007B3BE3">
        <w:rPr>
          <w:rFonts w:ascii="MHeiHK-Medium" w:eastAsia="MHeiHK-Medium" w:hAnsi="MHeiHK-Medium" w:cs="Times New Roman" w:hint="eastAsia"/>
          <w:lang w:eastAsia="zh-TW"/>
        </w:rPr>
        <w:lastRenderedPageBreak/>
        <w:t>隨著業務合併，</w:t>
      </w:r>
      <w:r w:rsidRPr="007B3BE3">
        <w:rPr>
          <w:rFonts w:ascii="MHeiHK-Medium" w:eastAsia="MHeiHK-Medium" w:hAnsi="MHeiHK-Medium" w:cs="Times New Roman"/>
          <w:lang w:eastAsia="zh-TW"/>
        </w:rPr>
        <w:t>The Flexi Group</w:t>
      </w:r>
      <w:r w:rsidRPr="007B3BE3">
        <w:rPr>
          <w:rFonts w:ascii="MHeiHK-Medium" w:eastAsia="MHeiHK-Medium" w:hAnsi="MHeiHK-Medium" w:cs="Times New Roman" w:hint="eastAsia"/>
          <w:lang w:eastAsia="zh-TW"/>
        </w:rPr>
        <w:t>計劃展開覆蓋亞太地區、北美、阿聯酋及歐洲地區的整合策略。</w:t>
      </w:r>
    </w:p>
    <w:p w14:paraId="17B4DD5A" w14:textId="109C7308" w:rsidR="007B3BE3" w:rsidRDefault="007B3BE3" w:rsidP="007B3BE3">
      <w:pPr>
        <w:pStyle w:val="Normal1"/>
        <w:snapToGrid w:val="0"/>
        <w:spacing w:line="240" w:lineRule="auto"/>
        <w:rPr>
          <w:rFonts w:ascii="MHeiHK-Medium" w:eastAsia="MHeiHK-Medium" w:hAnsi="MHeiHK-Medium" w:cs="Times New Roman"/>
          <w:lang w:eastAsia="zh-TW"/>
        </w:rPr>
      </w:pPr>
    </w:p>
    <w:p w14:paraId="4F4858B3" w14:textId="77777777" w:rsidR="007B3BE3" w:rsidRPr="007B3BE3" w:rsidRDefault="007B3BE3" w:rsidP="007B3BE3">
      <w:pPr>
        <w:pStyle w:val="Normal1"/>
        <w:snapToGrid w:val="0"/>
        <w:rPr>
          <w:rFonts w:ascii="MHeiHK-Medium" w:eastAsia="MHeiHK-Medium" w:hAnsi="MHeiHK-Medium"/>
          <w:b/>
          <w:bCs/>
          <w:lang w:eastAsia="zh-TW"/>
        </w:rPr>
      </w:pPr>
      <w:r w:rsidRPr="007B3BE3">
        <w:rPr>
          <w:rFonts w:ascii="MHeiHK-Medium" w:eastAsia="MHeiHK-Medium" w:hAnsi="MHeiHK-Medium" w:hint="eastAsia"/>
          <w:b/>
          <w:bCs/>
          <w:lang w:eastAsia="zh-TW"/>
        </w:rPr>
        <w:t>交易概覽</w:t>
      </w:r>
    </w:p>
    <w:p w14:paraId="257F9F19"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hint="eastAsia"/>
          <w:lang w:eastAsia="zh-TW"/>
        </w:rPr>
        <w:t>最終簽訂的合併協議反映了</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的預估企業價值</w:t>
      </w:r>
      <w:r w:rsidRPr="007B3BE3">
        <w:rPr>
          <w:rFonts w:ascii="MHeiHK-Medium" w:eastAsia="MHeiHK-Medium" w:hAnsi="MHeiHK-Medium"/>
          <w:lang w:eastAsia="zh-TW"/>
        </w:rPr>
        <w:t>2</w:t>
      </w:r>
      <w:r w:rsidRPr="007B3BE3">
        <w:rPr>
          <w:rFonts w:ascii="MHeiHK-Medium" w:eastAsia="MHeiHK-Medium" w:hAnsi="MHeiHK-Medium" w:hint="eastAsia"/>
          <w:lang w:eastAsia="zh-TW"/>
        </w:rPr>
        <w:t>億</w:t>
      </w:r>
      <w:r w:rsidRPr="007B3BE3">
        <w:rPr>
          <w:rFonts w:ascii="MHeiHK-Medium" w:eastAsia="MHeiHK-Medium" w:hAnsi="MHeiHK-Medium"/>
          <w:lang w:eastAsia="zh-TW"/>
        </w:rPr>
        <w:t>5</w:t>
      </w:r>
      <w:r w:rsidRPr="007B3BE3">
        <w:rPr>
          <w:rFonts w:ascii="MHeiHK-Medium" w:eastAsia="MHeiHK-Medium" w:hAnsi="MHeiHK-Medium" w:hint="eastAsia"/>
          <w:lang w:eastAsia="zh-TW"/>
        </w:rPr>
        <w:t>百萬美元。</w:t>
      </w:r>
      <w:r w:rsidRPr="007B3BE3">
        <w:rPr>
          <w:rFonts w:ascii="MHeiHK-Medium" w:eastAsia="MHeiHK-Medium" w:hAnsi="MHeiHK-Medium"/>
          <w:lang w:eastAsia="zh-TW"/>
        </w:rPr>
        <w:t>Marshall &amp; Stevens Transaction Advisory Services LLC</w:t>
      </w:r>
      <w:r w:rsidRPr="007B3BE3">
        <w:rPr>
          <w:rFonts w:ascii="MHeiHK-Medium" w:eastAsia="MHeiHK-Medium" w:hAnsi="MHeiHK-Medium" w:hint="eastAsia"/>
          <w:lang w:eastAsia="zh-TW"/>
        </w:rPr>
        <w:t>提供獨立公平的意見作為由財務角度的公平考慮。</w:t>
      </w:r>
    </w:p>
    <w:p w14:paraId="2B49D7DB" w14:textId="77777777" w:rsidR="007B3BE3" w:rsidRDefault="007B3BE3" w:rsidP="007B3BE3">
      <w:pPr>
        <w:pStyle w:val="Normal1"/>
        <w:snapToGrid w:val="0"/>
        <w:rPr>
          <w:rFonts w:ascii="MHeiHK-Medium" w:eastAsia="MHeiHK-Medium" w:hAnsi="MHeiHK-Medium"/>
          <w:lang w:eastAsia="zh-TW"/>
        </w:rPr>
      </w:pPr>
    </w:p>
    <w:p w14:paraId="2C075448" w14:textId="3DA2D81E"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hint="eastAsia"/>
          <w:lang w:eastAsia="zh-TW"/>
        </w:rPr>
        <w:t>該交易已獲得</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和</w:t>
      </w:r>
      <w:r w:rsidRPr="007B3BE3">
        <w:rPr>
          <w:rFonts w:ascii="MHeiHK-Medium" w:eastAsia="MHeiHK-Medium" w:hAnsi="MHeiHK-Medium"/>
          <w:lang w:eastAsia="zh-TW"/>
        </w:rPr>
        <w:t>TGVC</w:t>
      </w:r>
      <w:r w:rsidRPr="007B3BE3">
        <w:rPr>
          <w:rFonts w:ascii="MHeiHK-Medium" w:eastAsia="MHeiHK-Medium" w:hAnsi="MHeiHK-Medium" w:hint="eastAsia"/>
          <w:lang w:eastAsia="zh-TW"/>
        </w:rPr>
        <w:t>董事會一致批准，尚要獲得</w:t>
      </w:r>
      <w:r w:rsidRPr="007B3BE3">
        <w:rPr>
          <w:rFonts w:ascii="MHeiHK-Medium" w:eastAsia="MHeiHK-Medium" w:hAnsi="MHeiHK-Medium"/>
          <w:lang w:eastAsia="zh-TW"/>
        </w:rPr>
        <w:t>TGVC</w:t>
      </w:r>
      <w:r w:rsidRPr="007B3BE3">
        <w:rPr>
          <w:rFonts w:ascii="MHeiHK-Medium" w:eastAsia="MHeiHK-Medium" w:hAnsi="MHeiHK-Medium" w:hint="eastAsia"/>
          <w:lang w:eastAsia="zh-TW"/>
        </w:rPr>
        <w:t>和</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股東的批准。完成交易亦須滿足一般交易條件，包括</w:t>
      </w:r>
      <w:r w:rsidRPr="007B3BE3">
        <w:rPr>
          <w:rFonts w:ascii="MHeiHK-Medium" w:eastAsia="MHeiHK-Medium" w:hAnsi="MHeiHK-Medium"/>
          <w:lang w:eastAsia="zh-TW"/>
        </w:rPr>
        <w:t>TGVC</w:t>
      </w:r>
      <w:r w:rsidRPr="007B3BE3">
        <w:rPr>
          <w:rFonts w:ascii="MHeiHK-Medium" w:eastAsia="MHeiHK-Medium" w:hAnsi="MHeiHK-Medium" w:hint="eastAsia"/>
          <w:lang w:eastAsia="zh-TW"/>
        </w:rPr>
        <w:t>緊接完成交易前，扣除贖回和債務後（包括</w:t>
      </w:r>
      <w:r w:rsidRPr="007B3BE3">
        <w:rPr>
          <w:rFonts w:ascii="MHeiHK-Medium" w:eastAsia="MHeiHK-Medium" w:hAnsi="MHeiHK-Medium"/>
          <w:lang w:eastAsia="zh-TW"/>
        </w:rPr>
        <w:t>TGVC</w:t>
      </w:r>
      <w:r w:rsidRPr="007B3BE3">
        <w:rPr>
          <w:rFonts w:ascii="MHeiHK-Medium" w:eastAsia="MHeiHK-Medium" w:hAnsi="MHeiHK-Medium" w:hint="eastAsia"/>
          <w:lang w:eastAsia="zh-TW"/>
        </w:rPr>
        <w:t>的交易費用）持有至少價值</w:t>
      </w:r>
      <w:r w:rsidRPr="007B3BE3">
        <w:rPr>
          <w:rFonts w:ascii="MHeiHK-Medium" w:eastAsia="MHeiHK-Medium" w:hAnsi="MHeiHK-Medium"/>
          <w:lang w:eastAsia="zh-TW"/>
        </w:rPr>
        <w:t>5,000,001</w:t>
      </w:r>
      <w:r w:rsidRPr="007B3BE3">
        <w:rPr>
          <w:rFonts w:ascii="MHeiHK-Medium" w:eastAsia="MHeiHK-Medium" w:hAnsi="MHeiHK-Medium" w:hint="eastAsia"/>
          <w:lang w:eastAsia="zh-TW"/>
        </w:rPr>
        <w:t>美元的淨有形資產。</w:t>
      </w:r>
    </w:p>
    <w:p w14:paraId="2C0945E2" w14:textId="77777777" w:rsidR="007B3BE3" w:rsidRDefault="007B3BE3" w:rsidP="007B3BE3">
      <w:pPr>
        <w:pStyle w:val="Normal1"/>
        <w:snapToGrid w:val="0"/>
        <w:rPr>
          <w:rFonts w:ascii="MHeiHK-Medium" w:eastAsia="MHeiHK-Medium" w:hAnsi="MHeiHK-Medium"/>
          <w:lang w:eastAsia="zh-TW"/>
        </w:rPr>
      </w:pPr>
    </w:p>
    <w:p w14:paraId="30390B99" w14:textId="4AEAC80C"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hint="eastAsia"/>
          <w:lang w:eastAsia="zh-TW"/>
        </w:rPr>
        <w:t>有關本次建議交易的其他信息，包括企業合併協議的副本，將在</w:t>
      </w:r>
      <w:r w:rsidRPr="007B3BE3">
        <w:rPr>
          <w:rFonts w:ascii="MHeiHK-Medium" w:eastAsia="MHeiHK-Medium" w:hAnsi="MHeiHK-Medium"/>
          <w:lang w:eastAsia="zh-TW"/>
        </w:rPr>
        <w:t>TGVC</w:t>
      </w:r>
      <w:r w:rsidRPr="007B3BE3">
        <w:rPr>
          <w:rFonts w:ascii="MHeiHK-Medium" w:eastAsia="MHeiHK-Medium" w:hAnsi="MHeiHK-Medium" w:hint="eastAsia"/>
          <w:lang w:eastAsia="zh-TW"/>
        </w:rPr>
        <w:t>向美國證券交易委員會（「</w:t>
      </w:r>
      <w:r w:rsidRPr="007B3BE3">
        <w:rPr>
          <w:rFonts w:ascii="MHeiHK-Medium" w:eastAsia="MHeiHK-Medium" w:hAnsi="MHeiHK-Medium"/>
          <w:lang w:eastAsia="zh-TW"/>
        </w:rPr>
        <w:t>SEC</w:t>
      </w:r>
      <w:r w:rsidRPr="007B3BE3">
        <w:rPr>
          <w:rFonts w:ascii="MHeiHK-Medium" w:eastAsia="MHeiHK-Medium" w:hAnsi="MHeiHK-Medium" w:hint="eastAsia"/>
          <w:lang w:eastAsia="zh-TW"/>
        </w:rPr>
        <w:t>」）提交的</w:t>
      </w:r>
      <w:r w:rsidRPr="007B3BE3">
        <w:rPr>
          <w:rFonts w:ascii="MHeiHK-Medium" w:eastAsia="MHeiHK-Medium" w:hAnsi="MHeiHK-Medium"/>
          <w:lang w:eastAsia="zh-TW"/>
        </w:rPr>
        <w:t>8-K</w:t>
      </w:r>
      <w:r w:rsidRPr="007B3BE3">
        <w:rPr>
          <w:rFonts w:ascii="MHeiHK-Medium" w:eastAsia="MHeiHK-Medium" w:hAnsi="MHeiHK-Medium" w:hint="eastAsia"/>
          <w:lang w:eastAsia="zh-TW"/>
        </w:rPr>
        <w:t>表格當前報告、以及在</w:t>
      </w:r>
      <w:r w:rsidRPr="007B3BE3">
        <w:rPr>
          <w:rFonts w:ascii="MHeiHK-Medium" w:eastAsia="MHeiHK-Medium" w:hAnsi="MHeiHK-Medium"/>
          <w:lang w:eastAsia="zh-TW"/>
        </w:rPr>
        <w:t>www.sec.gov</w:t>
      </w:r>
      <w:r w:rsidRPr="007B3BE3">
        <w:rPr>
          <w:rFonts w:ascii="MHeiHK-Medium" w:eastAsia="MHeiHK-Medium" w:hAnsi="MHeiHK-Medium" w:hint="eastAsia"/>
          <w:lang w:eastAsia="zh-TW"/>
        </w:rPr>
        <w:t>中提供。</w:t>
      </w:r>
    </w:p>
    <w:p w14:paraId="177EC453" w14:textId="77777777" w:rsidR="007B3BE3" w:rsidRPr="007B3BE3" w:rsidRDefault="007B3BE3" w:rsidP="007B3BE3">
      <w:pPr>
        <w:pStyle w:val="Normal1"/>
        <w:snapToGrid w:val="0"/>
        <w:rPr>
          <w:rFonts w:ascii="MHeiHK-Medium" w:eastAsia="MHeiHK-Medium" w:hAnsi="MHeiHK-Medium"/>
          <w:lang w:eastAsia="zh-TW"/>
        </w:rPr>
      </w:pPr>
    </w:p>
    <w:p w14:paraId="753E7286" w14:textId="77777777" w:rsidR="007B3BE3" w:rsidRPr="007B3BE3" w:rsidRDefault="007B3BE3" w:rsidP="007B3BE3">
      <w:pPr>
        <w:pStyle w:val="Normal1"/>
        <w:snapToGrid w:val="0"/>
        <w:rPr>
          <w:rFonts w:ascii="MHeiHK-Medium" w:eastAsia="MHeiHK-Medium" w:hAnsi="MHeiHK-Medium"/>
          <w:b/>
          <w:bCs/>
          <w:lang w:eastAsia="zh-TW"/>
        </w:rPr>
      </w:pPr>
      <w:r w:rsidRPr="007B3BE3">
        <w:rPr>
          <w:rFonts w:ascii="MHeiHK-Medium" w:eastAsia="MHeiHK-Medium" w:hAnsi="MHeiHK-Medium" w:hint="eastAsia"/>
          <w:b/>
          <w:bCs/>
          <w:lang w:eastAsia="zh-TW"/>
        </w:rPr>
        <w:t>網絡廣播及資訊展示</w:t>
      </w:r>
    </w:p>
    <w:p w14:paraId="77BC7EBB"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lang w:eastAsia="zh-TW"/>
        </w:rPr>
        <w:t>TGVC</w:t>
      </w:r>
      <w:r w:rsidRPr="007B3BE3">
        <w:rPr>
          <w:rFonts w:ascii="MHeiHK-Medium" w:eastAsia="MHeiHK-Medium" w:hAnsi="MHeiHK-Medium" w:hint="eastAsia"/>
          <w:lang w:eastAsia="zh-TW"/>
        </w:rPr>
        <w:t>和</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的管理層計劃在提交與</w:t>
      </w:r>
      <w:r w:rsidRPr="007B3BE3">
        <w:rPr>
          <w:rFonts w:ascii="MHeiHK-Medium" w:eastAsia="MHeiHK-Medium" w:hAnsi="MHeiHK-Medium"/>
          <w:lang w:eastAsia="zh-TW"/>
        </w:rPr>
        <w:t>F-4</w:t>
      </w:r>
      <w:r w:rsidRPr="007B3BE3">
        <w:rPr>
          <w:rFonts w:ascii="MHeiHK-Medium" w:eastAsia="MHeiHK-Medium" w:hAnsi="MHeiHK-Medium" w:hint="eastAsia"/>
          <w:lang w:eastAsia="zh-TW"/>
        </w:rPr>
        <w:t>表格有關的註冊聲明後舉行網絡廣播，討論</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的商業模式和機遇，預計將於</w:t>
      </w:r>
      <w:r w:rsidRPr="007B3BE3">
        <w:rPr>
          <w:rFonts w:ascii="MHeiHK-Medium" w:eastAsia="MHeiHK-Medium" w:hAnsi="MHeiHK-Medium"/>
          <w:lang w:eastAsia="zh-TW"/>
        </w:rPr>
        <w:t>2023</w:t>
      </w:r>
      <w:r w:rsidRPr="007B3BE3">
        <w:rPr>
          <w:rFonts w:ascii="MHeiHK-Medium" w:eastAsia="MHeiHK-Medium" w:hAnsi="MHeiHK-Medium" w:hint="eastAsia"/>
          <w:lang w:eastAsia="zh-TW"/>
        </w:rPr>
        <w:t>年初舉行。網絡廣播、詳細的投資者推介報告和所有其他在網絡廣播中展示的材料將在</w:t>
      </w:r>
      <w:r w:rsidRPr="007B3BE3">
        <w:rPr>
          <w:rFonts w:ascii="MHeiHK-Medium" w:eastAsia="MHeiHK-Medium" w:hAnsi="MHeiHK-Medium"/>
          <w:lang w:eastAsia="zh-TW"/>
        </w:rPr>
        <w:t>TGVC</w:t>
      </w:r>
      <w:r w:rsidRPr="007B3BE3">
        <w:rPr>
          <w:rFonts w:ascii="MHeiHK-Medium" w:eastAsia="MHeiHK-Medium" w:hAnsi="MHeiHK-Medium" w:hint="eastAsia"/>
          <w:lang w:eastAsia="zh-TW"/>
        </w:rPr>
        <w:t>的網站</w:t>
      </w:r>
      <w:r w:rsidRPr="007B3BE3">
        <w:rPr>
          <w:rFonts w:ascii="MHeiHK-Medium" w:eastAsia="MHeiHK-Medium" w:hAnsi="MHeiHK-Medium"/>
          <w:lang w:eastAsia="zh-TW"/>
        </w:rPr>
        <w:t>https://tgventureacquisition.com</w:t>
      </w:r>
      <w:r w:rsidRPr="007B3BE3">
        <w:rPr>
          <w:rFonts w:ascii="MHeiHK-Medium" w:eastAsia="MHeiHK-Medium" w:hAnsi="MHeiHK-Medium" w:hint="eastAsia"/>
          <w:lang w:eastAsia="zh-TW"/>
        </w:rPr>
        <w:t>上提供。此外，</w:t>
      </w:r>
      <w:r w:rsidRPr="007B3BE3">
        <w:rPr>
          <w:rFonts w:ascii="MHeiHK-Medium" w:eastAsia="MHeiHK-Medium" w:hAnsi="MHeiHK-Medium"/>
          <w:lang w:eastAsia="zh-TW"/>
        </w:rPr>
        <w:t>TGVC</w:t>
      </w:r>
      <w:r w:rsidRPr="007B3BE3">
        <w:rPr>
          <w:rFonts w:ascii="MHeiHK-Medium" w:eastAsia="MHeiHK-Medium" w:hAnsi="MHeiHK-Medium" w:hint="eastAsia"/>
          <w:lang w:eastAsia="zh-TW"/>
        </w:rPr>
        <w:t>會向美國證券交易委員會將投資者推介報告存檔，作為</w:t>
      </w:r>
      <w:r w:rsidRPr="007B3BE3">
        <w:rPr>
          <w:rFonts w:ascii="MHeiHK-Medium" w:eastAsia="MHeiHK-Medium" w:hAnsi="MHeiHK-Medium"/>
          <w:lang w:eastAsia="zh-TW"/>
        </w:rPr>
        <w:t>8-K</w:t>
      </w:r>
      <w:r w:rsidRPr="007B3BE3">
        <w:rPr>
          <w:rFonts w:ascii="MHeiHK-Medium" w:eastAsia="MHeiHK-Medium" w:hAnsi="MHeiHK-Medium" w:hint="eastAsia"/>
          <w:lang w:eastAsia="zh-TW"/>
        </w:rPr>
        <w:t>表格中當前報告的證明文件，該表格將可在美國證券交易委員會網站</w:t>
      </w:r>
      <w:r w:rsidRPr="007B3BE3">
        <w:rPr>
          <w:rFonts w:ascii="MHeiHK-Medium" w:eastAsia="MHeiHK-Medium" w:hAnsi="MHeiHK-Medium"/>
          <w:lang w:eastAsia="zh-TW"/>
        </w:rPr>
        <w:t>www.sec.gov</w:t>
      </w:r>
      <w:r w:rsidRPr="007B3BE3">
        <w:rPr>
          <w:rFonts w:ascii="MHeiHK-Medium" w:eastAsia="MHeiHK-Medium" w:hAnsi="MHeiHK-Medium" w:hint="eastAsia"/>
          <w:lang w:eastAsia="zh-TW"/>
        </w:rPr>
        <w:t>上查閱。</w:t>
      </w:r>
    </w:p>
    <w:p w14:paraId="1556B61C" w14:textId="77777777" w:rsidR="007B3BE3" w:rsidRPr="007B3BE3" w:rsidRDefault="007B3BE3" w:rsidP="007B3BE3">
      <w:pPr>
        <w:pStyle w:val="Normal1"/>
        <w:snapToGrid w:val="0"/>
        <w:rPr>
          <w:rFonts w:ascii="MHeiHK-Medium" w:eastAsia="MHeiHK-Medium" w:hAnsi="MHeiHK-Medium"/>
          <w:lang w:eastAsia="zh-TW"/>
        </w:rPr>
      </w:pPr>
    </w:p>
    <w:p w14:paraId="3A95127C" w14:textId="77777777" w:rsidR="007B3BE3" w:rsidRPr="007B3BE3" w:rsidRDefault="007B3BE3" w:rsidP="007B3BE3">
      <w:pPr>
        <w:pStyle w:val="Normal1"/>
        <w:snapToGrid w:val="0"/>
        <w:rPr>
          <w:rFonts w:ascii="MHeiHK-Medium" w:eastAsia="MHeiHK-Medium" w:hAnsi="MHeiHK-Medium"/>
          <w:b/>
          <w:bCs/>
          <w:lang w:eastAsia="zh-TW"/>
        </w:rPr>
      </w:pPr>
      <w:r w:rsidRPr="007B3BE3">
        <w:rPr>
          <w:rFonts w:ascii="MHeiHK-Medium" w:eastAsia="MHeiHK-Medium" w:hAnsi="MHeiHK-Medium" w:hint="eastAsia"/>
          <w:b/>
          <w:bCs/>
          <w:lang w:eastAsia="zh-TW"/>
        </w:rPr>
        <w:t>顧問</w:t>
      </w:r>
    </w:p>
    <w:p w14:paraId="03F2EF60"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lang w:eastAsia="zh-TW"/>
        </w:rPr>
        <w:t>ARC Group Limited</w:t>
      </w:r>
      <w:r w:rsidRPr="007B3BE3">
        <w:rPr>
          <w:rFonts w:ascii="MHeiHK-Medium" w:eastAsia="MHeiHK-Medium" w:hAnsi="MHeiHK-Medium" w:hint="eastAsia"/>
          <w:lang w:eastAsia="zh-TW"/>
        </w:rPr>
        <w:t>擔任</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的獨家財務顧問，</w:t>
      </w:r>
      <w:proofErr w:type="spellStart"/>
      <w:r w:rsidRPr="007B3BE3">
        <w:rPr>
          <w:rFonts w:ascii="MHeiHK-Medium" w:eastAsia="MHeiHK-Medium" w:hAnsi="MHeiHK-Medium"/>
          <w:lang w:eastAsia="zh-TW"/>
        </w:rPr>
        <w:t>Lucosky</w:t>
      </w:r>
      <w:proofErr w:type="spellEnd"/>
      <w:r w:rsidRPr="007B3BE3">
        <w:rPr>
          <w:rFonts w:ascii="MHeiHK-Medium" w:eastAsia="MHeiHK-Medium" w:hAnsi="MHeiHK-Medium"/>
          <w:lang w:eastAsia="zh-TW"/>
        </w:rPr>
        <w:t xml:space="preserve"> Brookman LLP</w:t>
      </w:r>
      <w:r w:rsidRPr="007B3BE3">
        <w:rPr>
          <w:rFonts w:ascii="MHeiHK-Medium" w:eastAsia="MHeiHK-Medium" w:hAnsi="MHeiHK-Medium" w:hint="eastAsia"/>
          <w:lang w:eastAsia="zh-TW"/>
        </w:rPr>
        <w:t>及</w:t>
      </w:r>
      <w:r w:rsidRPr="007B3BE3">
        <w:rPr>
          <w:rFonts w:ascii="MHeiHK-Medium" w:eastAsia="MHeiHK-Medium" w:hAnsi="MHeiHK-Medium"/>
          <w:lang w:eastAsia="zh-TW"/>
        </w:rPr>
        <w:t>Conyers Dill &amp; Pearman</w:t>
      </w:r>
      <w:r w:rsidRPr="007B3BE3">
        <w:rPr>
          <w:rFonts w:ascii="MHeiHK-Medium" w:eastAsia="MHeiHK-Medium" w:hAnsi="MHeiHK-Medium" w:hint="eastAsia"/>
          <w:lang w:eastAsia="zh-TW"/>
        </w:rPr>
        <w:t>擔任該公司的法律顧問。</w:t>
      </w:r>
      <w:proofErr w:type="spellStart"/>
      <w:r w:rsidRPr="007B3BE3">
        <w:rPr>
          <w:rFonts w:ascii="MHeiHK-Medium" w:eastAsia="MHeiHK-Medium" w:hAnsi="MHeiHK-Medium"/>
          <w:lang w:eastAsia="zh-TW"/>
        </w:rPr>
        <w:t>TriPoint</w:t>
      </w:r>
      <w:proofErr w:type="spellEnd"/>
      <w:r w:rsidRPr="007B3BE3">
        <w:rPr>
          <w:rFonts w:ascii="MHeiHK-Medium" w:eastAsia="MHeiHK-Medium" w:hAnsi="MHeiHK-Medium"/>
          <w:lang w:eastAsia="zh-TW"/>
        </w:rPr>
        <w:t xml:space="preserve"> Capital Management, LLC</w:t>
      </w:r>
      <w:r w:rsidRPr="007B3BE3">
        <w:rPr>
          <w:rFonts w:ascii="MHeiHK-Medium" w:eastAsia="MHeiHK-Medium" w:hAnsi="MHeiHK-Medium" w:hint="eastAsia"/>
          <w:lang w:eastAsia="zh-TW"/>
        </w:rPr>
        <w:t>擔任</w:t>
      </w:r>
      <w:r w:rsidRPr="007B3BE3">
        <w:rPr>
          <w:rFonts w:ascii="MHeiHK-Medium" w:eastAsia="MHeiHK-Medium" w:hAnsi="MHeiHK-Medium"/>
          <w:lang w:eastAsia="zh-TW"/>
        </w:rPr>
        <w:t>TGVC</w:t>
      </w:r>
      <w:r w:rsidRPr="007B3BE3">
        <w:rPr>
          <w:rFonts w:ascii="MHeiHK-Medium" w:eastAsia="MHeiHK-Medium" w:hAnsi="MHeiHK-Medium" w:hint="eastAsia"/>
          <w:lang w:eastAsia="zh-TW"/>
        </w:rPr>
        <w:t>的顧問，</w:t>
      </w:r>
      <w:r w:rsidRPr="007B3BE3">
        <w:rPr>
          <w:rFonts w:ascii="MHeiHK-Medium" w:eastAsia="MHeiHK-Medium" w:hAnsi="MHeiHK-Medium"/>
          <w:lang w:eastAsia="zh-TW"/>
        </w:rPr>
        <w:t xml:space="preserve">Marshall &amp; Stevens, Inc. </w:t>
      </w:r>
      <w:r w:rsidRPr="007B3BE3">
        <w:rPr>
          <w:rFonts w:ascii="MHeiHK-Medium" w:eastAsia="MHeiHK-Medium" w:hAnsi="MHeiHK-Medium" w:hint="eastAsia"/>
          <w:lang w:eastAsia="zh-TW"/>
        </w:rPr>
        <w:t>擔任</w:t>
      </w:r>
      <w:r w:rsidRPr="007B3BE3">
        <w:rPr>
          <w:rFonts w:ascii="MHeiHK-Medium" w:eastAsia="MHeiHK-Medium" w:hAnsi="MHeiHK-Medium"/>
          <w:lang w:eastAsia="zh-TW"/>
        </w:rPr>
        <w:t>TGVC</w:t>
      </w:r>
      <w:r w:rsidRPr="007B3BE3">
        <w:rPr>
          <w:rFonts w:ascii="MHeiHK-Medium" w:eastAsia="MHeiHK-Medium" w:hAnsi="MHeiHK-Medium" w:hint="eastAsia"/>
          <w:lang w:eastAsia="zh-TW"/>
        </w:rPr>
        <w:t>的財務顧問，</w:t>
      </w:r>
      <w:r w:rsidRPr="007B3BE3">
        <w:rPr>
          <w:rFonts w:ascii="MHeiHK-Medium" w:eastAsia="MHeiHK-Medium" w:hAnsi="MHeiHK-Medium"/>
          <w:lang w:eastAsia="zh-TW"/>
        </w:rPr>
        <w:t>DLA Piper LLP (US)</w:t>
      </w:r>
      <w:r w:rsidRPr="007B3BE3">
        <w:rPr>
          <w:rFonts w:ascii="MHeiHK-Medium" w:eastAsia="MHeiHK-Medium" w:hAnsi="MHeiHK-Medium" w:hint="eastAsia"/>
          <w:lang w:eastAsia="zh-TW"/>
        </w:rPr>
        <w:t>和</w:t>
      </w:r>
      <w:r w:rsidRPr="007B3BE3">
        <w:rPr>
          <w:rFonts w:ascii="MHeiHK-Medium" w:eastAsia="MHeiHK-Medium" w:hAnsi="MHeiHK-Medium"/>
          <w:lang w:eastAsia="zh-TW"/>
        </w:rPr>
        <w:t>Ogier LLP</w:t>
      </w:r>
      <w:r w:rsidRPr="007B3BE3">
        <w:rPr>
          <w:rFonts w:ascii="MHeiHK-Medium" w:eastAsia="MHeiHK-Medium" w:hAnsi="MHeiHK-Medium" w:hint="eastAsia"/>
          <w:lang w:eastAsia="zh-TW"/>
        </w:rPr>
        <w:t>擔任</w:t>
      </w:r>
      <w:r w:rsidRPr="007B3BE3">
        <w:rPr>
          <w:rFonts w:ascii="MHeiHK-Medium" w:eastAsia="MHeiHK-Medium" w:hAnsi="MHeiHK-Medium"/>
          <w:lang w:eastAsia="zh-TW"/>
        </w:rPr>
        <w:t>TGVC</w:t>
      </w:r>
      <w:r w:rsidRPr="007B3BE3">
        <w:rPr>
          <w:rFonts w:ascii="MHeiHK-Medium" w:eastAsia="MHeiHK-Medium" w:hAnsi="MHeiHK-Medium" w:hint="eastAsia"/>
          <w:lang w:eastAsia="zh-TW"/>
        </w:rPr>
        <w:t>的法律顧問。</w:t>
      </w:r>
    </w:p>
    <w:p w14:paraId="19D5DE90"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lang w:eastAsia="zh-TW"/>
        </w:rPr>
        <w:t xml:space="preserve"> </w:t>
      </w:r>
    </w:p>
    <w:p w14:paraId="3CC805FE" w14:textId="77777777" w:rsidR="007B3BE3" w:rsidRPr="007B3BE3" w:rsidRDefault="007B3BE3" w:rsidP="007B3BE3">
      <w:pPr>
        <w:pStyle w:val="Normal1"/>
        <w:snapToGrid w:val="0"/>
        <w:rPr>
          <w:rFonts w:ascii="MHeiHK-Medium" w:eastAsia="MHeiHK-Medium" w:hAnsi="MHeiHK-Medium"/>
          <w:b/>
          <w:bCs/>
          <w:lang w:eastAsia="zh-TW"/>
        </w:rPr>
      </w:pPr>
      <w:r w:rsidRPr="007B3BE3">
        <w:rPr>
          <w:rFonts w:ascii="MHeiHK-Medium" w:eastAsia="MHeiHK-Medium" w:hAnsi="MHeiHK-Medium" w:hint="eastAsia"/>
          <w:b/>
          <w:bCs/>
          <w:lang w:eastAsia="zh-TW"/>
        </w:rPr>
        <w:t>關於</w:t>
      </w:r>
      <w:r w:rsidRPr="007B3BE3">
        <w:rPr>
          <w:rFonts w:ascii="MHeiHK-Medium" w:eastAsia="MHeiHK-Medium" w:hAnsi="MHeiHK-Medium"/>
          <w:b/>
          <w:bCs/>
          <w:lang w:eastAsia="zh-TW"/>
        </w:rPr>
        <w:t>TG Venture Acquisition Corp.</w:t>
      </w:r>
    </w:p>
    <w:p w14:paraId="609AA648"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lang w:eastAsia="zh-TW"/>
        </w:rPr>
        <w:t>TG Venture Acquisition Corp.</w:t>
      </w:r>
      <w:r w:rsidRPr="007B3BE3">
        <w:rPr>
          <w:rFonts w:ascii="MHeiHK-Medium" w:eastAsia="MHeiHK-Medium" w:hAnsi="MHeiHK-Medium" w:hint="eastAsia"/>
          <w:lang w:eastAsia="zh-TW"/>
        </w:rPr>
        <w:t>是一家特殊項目收購公司，由董事長兼首席執行官曾沛霖以及首席財務官</w:t>
      </w:r>
      <w:r w:rsidRPr="007B3BE3">
        <w:rPr>
          <w:rFonts w:ascii="MHeiHK-Medium" w:eastAsia="MHeiHK-Medium" w:hAnsi="MHeiHK-Medium"/>
          <w:lang w:eastAsia="zh-TW"/>
        </w:rPr>
        <w:t xml:space="preserve">Philip </w:t>
      </w:r>
      <w:proofErr w:type="spellStart"/>
      <w:r w:rsidRPr="007B3BE3">
        <w:rPr>
          <w:rFonts w:ascii="MHeiHK-Medium" w:eastAsia="MHeiHK-Medium" w:hAnsi="MHeiHK-Medium"/>
          <w:lang w:eastAsia="zh-TW"/>
        </w:rPr>
        <w:t>Rettger</w:t>
      </w:r>
      <w:proofErr w:type="spellEnd"/>
      <w:r w:rsidRPr="007B3BE3">
        <w:rPr>
          <w:rFonts w:ascii="MHeiHK-Medium" w:eastAsia="MHeiHK-Medium" w:hAnsi="MHeiHK-Medium" w:hint="eastAsia"/>
          <w:lang w:eastAsia="zh-TW"/>
        </w:rPr>
        <w:t>及董事</w:t>
      </w:r>
      <w:r w:rsidRPr="007B3BE3">
        <w:rPr>
          <w:rFonts w:ascii="MHeiHK-Medium" w:eastAsia="MHeiHK-Medium" w:hAnsi="MHeiHK-Medium"/>
          <w:lang w:eastAsia="zh-TW"/>
        </w:rPr>
        <w:t>Michael Alexander</w:t>
      </w:r>
      <w:r w:rsidRPr="007B3BE3">
        <w:rPr>
          <w:rFonts w:ascii="MHeiHK-Medium" w:eastAsia="MHeiHK-Medium" w:hAnsi="MHeiHK-Medium" w:hint="eastAsia"/>
          <w:lang w:eastAsia="zh-TW"/>
        </w:rPr>
        <w:t>、</w:t>
      </w:r>
      <w:r w:rsidRPr="007B3BE3">
        <w:rPr>
          <w:rFonts w:ascii="MHeiHK-Medium" w:eastAsia="MHeiHK-Medium" w:hAnsi="MHeiHK-Medium"/>
          <w:lang w:eastAsia="zh-TW"/>
        </w:rPr>
        <w:t>Komal Ahmed</w:t>
      </w:r>
      <w:r w:rsidRPr="007B3BE3">
        <w:rPr>
          <w:rFonts w:ascii="MHeiHK-Medium" w:eastAsia="MHeiHK-Medium" w:hAnsi="MHeiHK-Medium" w:hint="eastAsia"/>
          <w:lang w:eastAsia="zh-TW"/>
        </w:rPr>
        <w:t>及</w:t>
      </w:r>
      <w:r w:rsidRPr="007B3BE3">
        <w:rPr>
          <w:rFonts w:ascii="MHeiHK-Medium" w:eastAsia="MHeiHK-Medium" w:hAnsi="MHeiHK-Medium"/>
          <w:lang w:eastAsia="zh-TW"/>
        </w:rPr>
        <w:t>Jason Cheng Yuen Ma</w:t>
      </w:r>
      <w:r w:rsidRPr="007B3BE3">
        <w:rPr>
          <w:rFonts w:ascii="MHeiHK-Medium" w:eastAsia="MHeiHK-Medium" w:hAnsi="MHeiHK-Medium" w:hint="eastAsia"/>
          <w:lang w:eastAsia="zh-TW"/>
        </w:rPr>
        <w:t>領導。</w:t>
      </w:r>
      <w:r w:rsidRPr="007B3BE3">
        <w:rPr>
          <w:rFonts w:ascii="MHeiHK-Medium" w:eastAsia="MHeiHK-Medium" w:hAnsi="MHeiHK-Medium"/>
          <w:lang w:eastAsia="zh-TW"/>
        </w:rPr>
        <w:t>TGVC</w:t>
      </w:r>
      <w:r w:rsidRPr="007B3BE3">
        <w:rPr>
          <w:rFonts w:ascii="MHeiHK-Medium" w:eastAsia="MHeiHK-Medium" w:hAnsi="MHeiHK-Medium" w:hint="eastAsia"/>
          <w:lang w:eastAsia="zh-TW"/>
        </w:rPr>
        <w:t>的成立是為了與一個或多個業務進行合併、股本交換、資產收購、股票購買、重組或類似業務合併。</w:t>
      </w:r>
      <w:r w:rsidRPr="007B3BE3">
        <w:rPr>
          <w:rFonts w:ascii="MHeiHK-Medium" w:eastAsia="MHeiHK-Medium" w:hAnsi="MHeiHK-Medium"/>
          <w:lang w:eastAsia="zh-TW"/>
        </w:rPr>
        <w:t>TGVC</w:t>
      </w:r>
      <w:r w:rsidRPr="007B3BE3">
        <w:rPr>
          <w:rFonts w:ascii="MHeiHK-Medium" w:eastAsia="MHeiHK-Medium" w:hAnsi="MHeiHK-Medium" w:hint="eastAsia"/>
          <w:lang w:eastAsia="zh-TW"/>
        </w:rPr>
        <w:t>專注物色管理團隊和創辦人具有經驗和洞察力，並能為企業合併帶來重大價值的行業。</w:t>
      </w:r>
    </w:p>
    <w:p w14:paraId="27E9FD29" w14:textId="77777777" w:rsidR="007B3BE3" w:rsidRPr="007B3BE3" w:rsidRDefault="007B3BE3" w:rsidP="007B3BE3">
      <w:pPr>
        <w:pStyle w:val="Normal1"/>
        <w:snapToGrid w:val="0"/>
        <w:rPr>
          <w:rFonts w:ascii="MHeiHK-Medium" w:eastAsia="MHeiHK-Medium" w:hAnsi="MHeiHK-Medium"/>
          <w:lang w:eastAsia="zh-TW"/>
        </w:rPr>
      </w:pPr>
    </w:p>
    <w:p w14:paraId="56A1E20A" w14:textId="77777777" w:rsidR="007B3BE3" w:rsidRPr="007B3BE3" w:rsidRDefault="007B3BE3" w:rsidP="007B3BE3">
      <w:pPr>
        <w:pStyle w:val="Normal1"/>
        <w:snapToGrid w:val="0"/>
        <w:rPr>
          <w:rFonts w:ascii="MHeiHK-Medium" w:eastAsia="MHeiHK-Medium" w:hAnsi="MHeiHK-Medium"/>
          <w:b/>
          <w:bCs/>
          <w:lang w:eastAsia="zh-TW"/>
        </w:rPr>
      </w:pPr>
      <w:r w:rsidRPr="007B3BE3">
        <w:rPr>
          <w:rFonts w:ascii="MHeiHK-Medium" w:eastAsia="MHeiHK-Medium" w:hAnsi="MHeiHK-Medium" w:hint="eastAsia"/>
          <w:b/>
          <w:bCs/>
          <w:lang w:eastAsia="zh-TW"/>
        </w:rPr>
        <w:t>關於曾氏集團</w:t>
      </w:r>
    </w:p>
    <w:p w14:paraId="1B6972CD"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hint="eastAsia"/>
          <w:lang w:eastAsia="zh-TW"/>
        </w:rPr>
        <w:t>曾氏集團是一家銳意創新的全球性家族辦公室，是連接東西方的橋樑。集團致力把握全球的投資機遇，期望在香港、亞洲以至全世界創造具有積極及正面影響力的價值。曾氏集團的總部設於香港，並於全球進行直接投資。集團尋找的投資項目，在產生正面影響力的同時，亦反映出他們創新、可持續和整體融合性的價值觀。曾氏集團的策略為致力把握機遇，不分領域及地區性投資。集團的行業覆蓋面相當廣泛，由金融科技、娛樂，到太空旅行，曾氏集團不斷積極探索、分析並支持全球最尖端的創新發展。欲了解曾氏集團的更多資訊，請到訪：</w:t>
      </w:r>
      <w:r w:rsidRPr="007B3BE3">
        <w:rPr>
          <w:rFonts w:ascii="MHeiHK-Medium" w:eastAsia="MHeiHK-Medium" w:hAnsi="MHeiHK-Medium"/>
          <w:lang w:eastAsia="zh-TW"/>
        </w:rPr>
        <w:t>https://tsangsgroup.co/</w:t>
      </w:r>
      <w:r w:rsidRPr="007B3BE3">
        <w:rPr>
          <w:rFonts w:ascii="MHeiHK-Medium" w:eastAsia="MHeiHK-Medium" w:hAnsi="MHeiHK-Medium" w:hint="eastAsia"/>
          <w:lang w:eastAsia="zh-TW"/>
        </w:rPr>
        <w:t>。</w:t>
      </w:r>
    </w:p>
    <w:p w14:paraId="3765DBCB" w14:textId="77777777" w:rsidR="007B3BE3" w:rsidRPr="007B3BE3" w:rsidRDefault="007B3BE3" w:rsidP="007B3BE3">
      <w:pPr>
        <w:pStyle w:val="Normal1"/>
        <w:snapToGrid w:val="0"/>
        <w:rPr>
          <w:rFonts w:ascii="MHeiHK-Medium" w:eastAsia="MHeiHK-Medium" w:hAnsi="MHeiHK-Medium"/>
          <w:lang w:eastAsia="zh-TW"/>
        </w:rPr>
      </w:pPr>
    </w:p>
    <w:p w14:paraId="59ADD2DC" w14:textId="77777777" w:rsidR="007B3BE3" w:rsidRPr="007B3BE3" w:rsidRDefault="007B3BE3" w:rsidP="007B3BE3">
      <w:pPr>
        <w:pStyle w:val="Normal1"/>
        <w:snapToGrid w:val="0"/>
        <w:rPr>
          <w:rFonts w:ascii="MHeiHK-Medium" w:eastAsia="MHeiHK-Medium" w:hAnsi="MHeiHK-Medium"/>
          <w:b/>
          <w:bCs/>
          <w:lang w:eastAsia="zh-TW"/>
        </w:rPr>
      </w:pPr>
      <w:r w:rsidRPr="007B3BE3">
        <w:rPr>
          <w:rFonts w:ascii="MHeiHK-Medium" w:eastAsia="MHeiHK-Medium" w:hAnsi="MHeiHK-Medium" w:hint="eastAsia"/>
          <w:b/>
          <w:bCs/>
          <w:lang w:eastAsia="zh-TW"/>
        </w:rPr>
        <w:t>附加信息</w:t>
      </w:r>
    </w:p>
    <w:p w14:paraId="7C7F3323" w14:textId="571FDCD4" w:rsid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hint="eastAsia"/>
          <w:lang w:eastAsia="zh-TW"/>
        </w:rPr>
        <w:t>本新聞稿涉及</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與</w:t>
      </w:r>
      <w:r w:rsidRPr="007B3BE3">
        <w:rPr>
          <w:rFonts w:ascii="MHeiHK-Medium" w:eastAsia="MHeiHK-Medium" w:hAnsi="MHeiHK-Medium"/>
          <w:lang w:eastAsia="zh-TW"/>
        </w:rPr>
        <w:t>TGVC</w:t>
      </w:r>
      <w:r w:rsidRPr="007B3BE3">
        <w:rPr>
          <w:rFonts w:ascii="MHeiHK-Medium" w:eastAsia="MHeiHK-Medium" w:hAnsi="MHeiHK-Medium" w:hint="eastAsia"/>
          <w:lang w:eastAsia="zh-TW"/>
        </w:rPr>
        <w:t>之間的建議交易。本新聞稿不構成出售或交換任何證券的要約，也不構成購買或交換任何證券的要約邀請，在任何司法管轄區的證券法進行註冊或取得資格之前，如此類要約、出售或交換均屬違法，也不會在任何此類司法管轄區進行這個股票的任何要約、出售或交換，。關於本文所述的交易，</w:t>
      </w:r>
      <w:r w:rsidRPr="007B3BE3">
        <w:rPr>
          <w:rFonts w:ascii="MHeiHK-Medium" w:eastAsia="MHeiHK-Medium" w:hAnsi="MHeiHK-Medium"/>
          <w:lang w:eastAsia="zh-TW"/>
        </w:rPr>
        <w:t>TGVC</w:t>
      </w:r>
      <w:r w:rsidRPr="007B3BE3">
        <w:rPr>
          <w:rFonts w:ascii="MHeiHK-Medium" w:eastAsia="MHeiHK-Medium" w:hAnsi="MHeiHK-Medium" w:hint="eastAsia"/>
          <w:lang w:eastAsia="zh-TW"/>
        </w:rPr>
        <w:t>、</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和</w:t>
      </w:r>
      <w:r w:rsidRPr="007B3BE3">
        <w:rPr>
          <w:rFonts w:ascii="MHeiHK-Medium" w:eastAsia="MHeiHK-Medium" w:hAnsi="MHeiHK-Medium"/>
          <w:lang w:eastAsia="zh-TW"/>
        </w:rPr>
        <w:t>/</w:t>
      </w:r>
      <w:r w:rsidRPr="007B3BE3">
        <w:rPr>
          <w:rFonts w:ascii="MHeiHK-Medium" w:eastAsia="MHeiHK-Medium" w:hAnsi="MHeiHK-Medium" w:hint="eastAsia"/>
          <w:lang w:eastAsia="zh-TW"/>
        </w:rPr>
        <w:t>或交易的後續實體將向美國證券交易委員會提交相關資料，包括</w:t>
      </w:r>
      <w:r w:rsidRPr="007B3BE3">
        <w:rPr>
          <w:rFonts w:ascii="MHeiHK-Medium" w:eastAsia="MHeiHK-Medium" w:hAnsi="MHeiHK-Medium"/>
          <w:lang w:eastAsia="zh-TW"/>
        </w:rPr>
        <w:t>F-4</w:t>
      </w:r>
      <w:r w:rsidRPr="007B3BE3">
        <w:rPr>
          <w:rFonts w:ascii="MHeiHK-Medium" w:eastAsia="MHeiHK-Medium" w:hAnsi="MHeiHK-Medium" w:hint="eastAsia"/>
          <w:lang w:eastAsia="zh-TW"/>
        </w:rPr>
        <w:t>表格上的註冊聲明，其中將包括作為聯合招股說明書和代理聲明的文件，簡稱代理聲明</w:t>
      </w:r>
      <w:r w:rsidRPr="007B3BE3">
        <w:rPr>
          <w:rFonts w:ascii="MHeiHK-Medium" w:eastAsia="MHeiHK-Medium" w:hAnsi="MHeiHK-Medium"/>
          <w:lang w:eastAsia="zh-TW"/>
        </w:rPr>
        <w:t>/</w:t>
      </w:r>
      <w:r w:rsidRPr="007B3BE3">
        <w:rPr>
          <w:rFonts w:ascii="MHeiHK-Medium" w:eastAsia="MHeiHK-Medium" w:hAnsi="MHeiHK-Medium" w:hint="eastAsia"/>
          <w:lang w:eastAsia="zh-TW"/>
        </w:rPr>
        <w:t>招股說明書。代理聲明</w:t>
      </w:r>
      <w:r w:rsidRPr="007B3BE3">
        <w:rPr>
          <w:rFonts w:ascii="MHeiHK-Medium" w:eastAsia="MHeiHK-Medium" w:hAnsi="MHeiHK-Medium"/>
          <w:lang w:eastAsia="zh-TW"/>
        </w:rPr>
        <w:t>/</w:t>
      </w:r>
      <w:r w:rsidRPr="007B3BE3">
        <w:rPr>
          <w:rFonts w:ascii="MHeiHK-Medium" w:eastAsia="MHeiHK-Medium" w:hAnsi="MHeiHK-Medium" w:hint="eastAsia"/>
          <w:lang w:eastAsia="zh-TW"/>
        </w:rPr>
        <w:t>招股說明書將發送給所有</w:t>
      </w:r>
      <w:r w:rsidRPr="007B3BE3">
        <w:rPr>
          <w:rFonts w:ascii="MHeiHK-Medium" w:eastAsia="MHeiHK-Medium" w:hAnsi="MHeiHK-Medium"/>
          <w:lang w:eastAsia="zh-TW"/>
        </w:rPr>
        <w:t>TGVC</w:t>
      </w:r>
      <w:r w:rsidRPr="007B3BE3">
        <w:rPr>
          <w:rFonts w:ascii="MHeiHK-Medium" w:eastAsia="MHeiHK-Medium" w:hAnsi="MHeiHK-Medium" w:hint="eastAsia"/>
          <w:lang w:eastAsia="zh-TW"/>
        </w:rPr>
        <w:t>及</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的股東。</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w:t>
      </w:r>
      <w:r w:rsidRPr="007B3BE3">
        <w:rPr>
          <w:rFonts w:ascii="MHeiHK-Medium" w:eastAsia="MHeiHK-Medium" w:hAnsi="MHeiHK-Medium"/>
          <w:lang w:eastAsia="zh-TW"/>
        </w:rPr>
        <w:t>TGVC</w:t>
      </w:r>
      <w:r w:rsidRPr="007B3BE3">
        <w:rPr>
          <w:rFonts w:ascii="MHeiHK-Medium" w:eastAsia="MHeiHK-Medium" w:hAnsi="MHeiHK-Medium" w:hint="eastAsia"/>
          <w:lang w:eastAsia="zh-TW"/>
        </w:rPr>
        <w:t>和</w:t>
      </w:r>
      <w:r w:rsidRPr="007B3BE3">
        <w:rPr>
          <w:rFonts w:ascii="MHeiHK-Medium" w:eastAsia="MHeiHK-Medium" w:hAnsi="MHeiHK-Medium"/>
          <w:lang w:eastAsia="zh-TW"/>
        </w:rPr>
        <w:t>/</w:t>
      </w:r>
      <w:r w:rsidRPr="007B3BE3">
        <w:rPr>
          <w:rFonts w:ascii="MHeiHK-Medium" w:eastAsia="MHeiHK-Medium" w:hAnsi="MHeiHK-Medium" w:hint="eastAsia"/>
          <w:lang w:eastAsia="zh-TW"/>
        </w:rPr>
        <w:t>或交易的後續實體還將向美國證券交易委員會提交有關建議交易的其他文件。在作出任何投票或投資決定之前，敦促</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和</w:t>
      </w:r>
      <w:r w:rsidRPr="007B3BE3">
        <w:rPr>
          <w:rFonts w:ascii="MHeiHK-Medium" w:eastAsia="MHeiHK-Medium" w:hAnsi="MHeiHK-Medium"/>
          <w:lang w:eastAsia="zh-TW"/>
        </w:rPr>
        <w:t>TGVC</w:t>
      </w:r>
      <w:r w:rsidRPr="007B3BE3">
        <w:rPr>
          <w:rFonts w:ascii="MHeiHK-Medium" w:eastAsia="MHeiHK-Medium" w:hAnsi="MHeiHK-Medium" w:hint="eastAsia"/>
          <w:lang w:eastAsia="zh-TW"/>
        </w:rPr>
        <w:t>的投資者和證券持有人閱讀註冊聲明、代理聲明</w:t>
      </w:r>
      <w:r w:rsidRPr="007B3BE3">
        <w:rPr>
          <w:rFonts w:ascii="MHeiHK-Medium" w:eastAsia="MHeiHK-Medium" w:hAnsi="MHeiHK-Medium"/>
          <w:lang w:eastAsia="zh-TW"/>
        </w:rPr>
        <w:t>/</w:t>
      </w:r>
      <w:r w:rsidRPr="007B3BE3">
        <w:rPr>
          <w:rFonts w:ascii="MHeiHK-Medium" w:eastAsia="MHeiHK-Medium" w:hAnsi="MHeiHK-Medium" w:hint="eastAsia"/>
          <w:lang w:eastAsia="zh-TW"/>
        </w:rPr>
        <w:t>招股說明書，以及與建議交易相關的所有其他已提交或將提交給美國證券交易委員會的相關文件，因為它們將包含有關建議交易的重要信息。</w:t>
      </w:r>
    </w:p>
    <w:p w14:paraId="7C6782FC" w14:textId="77777777" w:rsidR="007B3BE3" w:rsidRPr="007B3BE3" w:rsidRDefault="007B3BE3" w:rsidP="007B3BE3">
      <w:pPr>
        <w:pStyle w:val="Normal1"/>
        <w:snapToGrid w:val="0"/>
        <w:rPr>
          <w:rFonts w:ascii="MHeiHK-Medium" w:eastAsia="MHeiHK-Medium" w:hAnsi="MHeiHK-Medium" w:hint="eastAsia"/>
          <w:lang w:eastAsia="zh-TW"/>
        </w:rPr>
      </w:pPr>
    </w:p>
    <w:p w14:paraId="36D9B12A" w14:textId="2A18F2D0" w:rsid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hint="eastAsia"/>
          <w:lang w:eastAsia="zh-TW"/>
        </w:rPr>
        <w:t>投資者和證券持有人透過由美國證券交易委員會維護的網站</w:t>
      </w:r>
      <w:r w:rsidRPr="007B3BE3">
        <w:rPr>
          <w:rFonts w:ascii="MHeiHK-Medium" w:eastAsia="MHeiHK-Medium" w:hAnsi="MHeiHK-Medium"/>
          <w:lang w:eastAsia="zh-TW"/>
        </w:rPr>
        <w:t>www.sec.gov</w:t>
      </w:r>
      <w:r w:rsidRPr="007B3BE3">
        <w:rPr>
          <w:rFonts w:ascii="MHeiHK-Medium" w:eastAsia="MHeiHK-Medium" w:hAnsi="MHeiHK-Medium" w:hint="eastAsia"/>
          <w:lang w:eastAsia="zh-TW"/>
        </w:rPr>
        <w:t>，可免費獲得</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w:t>
      </w:r>
      <w:r w:rsidRPr="007B3BE3">
        <w:rPr>
          <w:rFonts w:ascii="MHeiHK-Medium" w:eastAsia="MHeiHK-Medium" w:hAnsi="MHeiHK-Medium"/>
          <w:lang w:eastAsia="zh-TW"/>
        </w:rPr>
        <w:t>TGVC</w:t>
      </w:r>
      <w:r w:rsidRPr="007B3BE3">
        <w:rPr>
          <w:rFonts w:ascii="MHeiHK-Medium" w:eastAsia="MHeiHK-Medium" w:hAnsi="MHeiHK-Medium" w:hint="eastAsia"/>
          <w:lang w:eastAsia="zh-TW"/>
        </w:rPr>
        <w:t>或交易的任何後續實體向美國證券交易委員會提交或將提交的註冊聲明、代理聲明</w:t>
      </w:r>
      <w:r w:rsidRPr="007B3BE3">
        <w:rPr>
          <w:rFonts w:ascii="MHeiHK-Medium" w:eastAsia="MHeiHK-Medium" w:hAnsi="MHeiHK-Medium"/>
          <w:lang w:eastAsia="zh-TW"/>
        </w:rPr>
        <w:t>/</w:t>
      </w:r>
      <w:r w:rsidRPr="007B3BE3">
        <w:rPr>
          <w:rFonts w:ascii="MHeiHK-Medium" w:eastAsia="MHeiHK-Medium" w:hAnsi="MHeiHK-Medium" w:hint="eastAsia"/>
          <w:lang w:eastAsia="zh-TW"/>
        </w:rPr>
        <w:t>招股說明書及所有其他相關文件。</w:t>
      </w:r>
    </w:p>
    <w:p w14:paraId="1A27D362" w14:textId="77777777" w:rsidR="007B3BE3" w:rsidRPr="007B3BE3" w:rsidRDefault="007B3BE3" w:rsidP="007B3BE3">
      <w:pPr>
        <w:pStyle w:val="Normal1"/>
        <w:snapToGrid w:val="0"/>
        <w:rPr>
          <w:rFonts w:ascii="MHeiHK-Medium" w:eastAsia="MHeiHK-Medium" w:hAnsi="MHeiHK-Medium" w:hint="eastAsia"/>
          <w:lang w:eastAsia="zh-TW"/>
        </w:rPr>
      </w:pPr>
    </w:p>
    <w:p w14:paraId="586E5E04"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lang w:eastAsia="zh-TW"/>
        </w:rPr>
        <w:t>TGVC</w:t>
      </w:r>
      <w:r w:rsidRPr="007B3BE3">
        <w:rPr>
          <w:rFonts w:ascii="MHeiHK-Medium" w:eastAsia="MHeiHK-Medium" w:hAnsi="MHeiHK-Medium" w:hint="eastAsia"/>
          <w:lang w:eastAsia="zh-TW"/>
        </w:rPr>
        <w:t>向美國證券交易委員會提交的文件也可以通過向</w:t>
      </w:r>
      <w:r w:rsidRPr="007B3BE3">
        <w:rPr>
          <w:rFonts w:ascii="MHeiHK-Medium" w:eastAsia="MHeiHK-Medium" w:hAnsi="MHeiHK-Medium"/>
          <w:lang w:eastAsia="zh-TW"/>
        </w:rPr>
        <w:t>TG Venture Acquisition Corp, 1390 Market Street, Suite 200, San Francisco, CA 94102</w:t>
      </w:r>
      <w:r w:rsidRPr="007B3BE3">
        <w:rPr>
          <w:rFonts w:ascii="MHeiHK-Medium" w:eastAsia="MHeiHK-Medium" w:hAnsi="MHeiHK-Medium" w:hint="eastAsia"/>
          <w:lang w:eastAsia="zh-TW"/>
        </w:rPr>
        <w:t>或通過電子郵件</w:t>
      </w:r>
      <w:r w:rsidRPr="007B3BE3">
        <w:rPr>
          <w:rFonts w:ascii="MHeiHK-Medium" w:eastAsia="MHeiHK-Medium" w:hAnsi="MHeiHK-Medium"/>
          <w:lang w:eastAsia="zh-TW"/>
        </w:rPr>
        <w:t>info@tgventureaquisition.com</w:t>
      </w:r>
      <w:r w:rsidRPr="007B3BE3">
        <w:rPr>
          <w:rFonts w:ascii="MHeiHK-Medium" w:eastAsia="MHeiHK-Medium" w:hAnsi="MHeiHK-Medium" w:hint="eastAsia"/>
          <w:lang w:eastAsia="zh-TW"/>
        </w:rPr>
        <w:t>提出書面請求免費獲得。</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或交易的任何後續實體向美國證券交易委員會提交的文件也可通過向</w:t>
      </w:r>
      <w:r w:rsidRPr="007B3BE3">
        <w:rPr>
          <w:rFonts w:ascii="MHeiHK-Medium" w:eastAsia="MHeiHK-Medium" w:hAnsi="MHeiHK-Medium"/>
          <w:lang w:eastAsia="zh-TW"/>
        </w:rPr>
        <w:t xml:space="preserve">The Flexi Group Holdings Ltd., Wisma UOA II, Penthouse 16-1 Level 16, No.6, </w:t>
      </w:r>
      <w:proofErr w:type="spellStart"/>
      <w:r w:rsidRPr="007B3BE3">
        <w:rPr>
          <w:rFonts w:ascii="MHeiHK-Medium" w:eastAsia="MHeiHK-Medium" w:hAnsi="MHeiHK-Medium"/>
          <w:lang w:eastAsia="zh-TW"/>
        </w:rPr>
        <w:t>Changkat</w:t>
      </w:r>
      <w:proofErr w:type="spellEnd"/>
      <w:r w:rsidRPr="007B3BE3">
        <w:rPr>
          <w:rFonts w:ascii="MHeiHK-Medium" w:eastAsia="MHeiHK-Medium" w:hAnsi="MHeiHK-Medium"/>
          <w:lang w:eastAsia="zh-TW"/>
        </w:rPr>
        <w:t xml:space="preserve"> </w:t>
      </w:r>
      <w:proofErr w:type="spellStart"/>
      <w:r w:rsidRPr="007B3BE3">
        <w:rPr>
          <w:rFonts w:ascii="MHeiHK-Medium" w:eastAsia="MHeiHK-Medium" w:hAnsi="MHeiHK-Medium"/>
          <w:lang w:eastAsia="zh-TW"/>
        </w:rPr>
        <w:t>Semantan</w:t>
      </w:r>
      <w:proofErr w:type="spellEnd"/>
      <w:r w:rsidRPr="007B3BE3">
        <w:rPr>
          <w:rFonts w:ascii="MHeiHK-Medium" w:eastAsia="MHeiHK-Medium" w:hAnsi="MHeiHK-Medium"/>
          <w:lang w:eastAsia="zh-TW"/>
        </w:rPr>
        <w:t>, Bukit Damansara, 50490 Kuala Lumpur, Malaysia</w:t>
      </w:r>
      <w:r w:rsidRPr="007B3BE3">
        <w:rPr>
          <w:rFonts w:ascii="MHeiHK-Medium" w:eastAsia="MHeiHK-Medium" w:hAnsi="MHeiHK-Medium" w:hint="eastAsia"/>
          <w:lang w:eastAsia="zh-TW"/>
        </w:rPr>
        <w:t>或通過電子郵件</w:t>
      </w:r>
      <w:r w:rsidRPr="007B3BE3">
        <w:rPr>
          <w:rFonts w:ascii="MHeiHK-Medium" w:eastAsia="MHeiHK-Medium" w:hAnsi="MHeiHK-Medium"/>
          <w:lang w:eastAsia="zh-TW"/>
        </w:rPr>
        <w:t>contact@theflexigroup.com</w:t>
      </w:r>
      <w:r w:rsidRPr="007B3BE3">
        <w:rPr>
          <w:rFonts w:ascii="MHeiHK-Medium" w:eastAsia="MHeiHK-Medium" w:hAnsi="MHeiHK-Medium" w:hint="eastAsia"/>
          <w:lang w:eastAsia="zh-TW"/>
        </w:rPr>
        <w:t>提出書面請求免費獲得。</w:t>
      </w:r>
    </w:p>
    <w:p w14:paraId="1D199D6A" w14:textId="77777777" w:rsidR="007B3BE3" w:rsidRPr="007B3BE3" w:rsidRDefault="007B3BE3" w:rsidP="007B3BE3">
      <w:pPr>
        <w:pStyle w:val="Normal1"/>
        <w:snapToGrid w:val="0"/>
        <w:rPr>
          <w:rFonts w:ascii="MHeiHK-Medium" w:eastAsia="MHeiHK-Medium" w:hAnsi="MHeiHK-Medium"/>
          <w:lang w:eastAsia="zh-TW"/>
        </w:rPr>
      </w:pPr>
    </w:p>
    <w:p w14:paraId="7AB8BCCD" w14:textId="77777777" w:rsidR="007B3BE3" w:rsidRPr="007B3BE3" w:rsidRDefault="007B3BE3" w:rsidP="007B3BE3">
      <w:pPr>
        <w:pStyle w:val="Normal1"/>
        <w:snapToGrid w:val="0"/>
        <w:rPr>
          <w:rFonts w:ascii="MHeiHK-Medium" w:eastAsia="MHeiHK-Medium" w:hAnsi="MHeiHK-Medium"/>
          <w:b/>
          <w:bCs/>
          <w:lang w:eastAsia="zh-TW"/>
        </w:rPr>
      </w:pPr>
      <w:r w:rsidRPr="007B3BE3">
        <w:rPr>
          <w:rFonts w:ascii="MHeiHK-Medium" w:eastAsia="MHeiHK-Medium" w:hAnsi="MHeiHK-Medium" w:hint="eastAsia"/>
          <w:b/>
          <w:bCs/>
          <w:lang w:eastAsia="zh-TW"/>
        </w:rPr>
        <w:t>參與徵集</w:t>
      </w:r>
    </w:p>
    <w:p w14:paraId="1C3007C0"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lang w:eastAsia="zh-TW"/>
        </w:rPr>
        <w:t>The Flexi Group</w:t>
      </w:r>
      <w:r w:rsidRPr="007B3BE3">
        <w:rPr>
          <w:rFonts w:ascii="MHeiHK-Medium" w:eastAsia="MHeiHK-Medium" w:hAnsi="MHeiHK-Medium" w:hint="eastAsia"/>
          <w:lang w:eastAsia="zh-TW"/>
        </w:rPr>
        <w:t>、</w:t>
      </w:r>
      <w:r w:rsidRPr="007B3BE3">
        <w:rPr>
          <w:rFonts w:ascii="MHeiHK-Medium" w:eastAsia="MHeiHK-Medium" w:hAnsi="MHeiHK-Medium"/>
          <w:lang w:eastAsia="zh-TW"/>
        </w:rPr>
        <w:t>TGVC</w:t>
      </w:r>
      <w:r w:rsidRPr="007B3BE3">
        <w:rPr>
          <w:rFonts w:ascii="MHeiHK-Medium" w:eastAsia="MHeiHK-Medium" w:hAnsi="MHeiHK-Medium" w:hint="eastAsia"/>
          <w:lang w:eastAsia="zh-TW"/>
        </w:rPr>
        <w:t>及其各自的董事和執行官可能被視為參與了與建議交易相關的</w:t>
      </w:r>
      <w:r w:rsidRPr="007B3BE3">
        <w:rPr>
          <w:rFonts w:ascii="MHeiHK-Medium" w:eastAsia="MHeiHK-Medium" w:hAnsi="MHeiHK-Medium"/>
          <w:lang w:eastAsia="zh-TW"/>
        </w:rPr>
        <w:t>TGVC</w:t>
      </w:r>
      <w:r w:rsidRPr="007B3BE3">
        <w:rPr>
          <w:rFonts w:ascii="MHeiHK-Medium" w:eastAsia="MHeiHK-Medium" w:hAnsi="MHeiHK-Medium" w:hint="eastAsia"/>
          <w:lang w:eastAsia="zh-TW"/>
        </w:rPr>
        <w:t>股東委託書徵集。相關董事和執行官的名單，以及有關他們在企業合併中的利益以及他們對</w:t>
      </w:r>
      <w:r w:rsidRPr="007B3BE3">
        <w:rPr>
          <w:rFonts w:ascii="MHeiHK-Medium" w:eastAsia="MHeiHK-Medium" w:hAnsi="MHeiHK-Medium"/>
          <w:lang w:eastAsia="zh-TW"/>
        </w:rPr>
        <w:t xml:space="preserve"> TGVC </w:t>
      </w:r>
      <w:r w:rsidRPr="007B3BE3">
        <w:rPr>
          <w:rFonts w:ascii="MHeiHK-Medium" w:eastAsia="MHeiHK-Medium" w:hAnsi="MHeiHK-Medium" w:hint="eastAsia"/>
          <w:lang w:eastAsia="zh-TW"/>
        </w:rPr>
        <w:t>證券所有權的信息，已經或將包含在</w:t>
      </w:r>
      <w:r w:rsidRPr="007B3BE3">
        <w:rPr>
          <w:rFonts w:ascii="MHeiHK-Medium" w:eastAsia="MHeiHK-Medium" w:hAnsi="MHeiHK-Medium"/>
          <w:lang w:eastAsia="zh-TW"/>
        </w:rPr>
        <w:t xml:space="preserve"> TGVC </w:t>
      </w:r>
      <w:r w:rsidRPr="007B3BE3">
        <w:rPr>
          <w:rFonts w:ascii="MHeiHK-Medium" w:eastAsia="MHeiHK-Medium" w:hAnsi="MHeiHK-Medium" w:hint="eastAsia"/>
          <w:lang w:eastAsia="zh-TW"/>
        </w:rPr>
        <w:t>向美國證券交易委員會提交的文件中，而這些訊息及</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董事和執行官的姓名也將出現在</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w:t>
      </w:r>
      <w:r w:rsidRPr="007B3BE3">
        <w:rPr>
          <w:rFonts w:ascii="MHeiHK-Medium" w:eastAsia="MHeiHK-Medium" w:hAnsi="MHeiHK-Medium"/>
          <w:lang w:eastAsia="zh-TW"/>
        </w:rPr>
        <w:t>TGVC</w:t>
      </w:r>
      <w:r w:rsidRPr="007B3BE3">
        <w:rPr>
          <w:rFonts w:ascii="MHeiHK-Medium" w:eastAsia="MHeiHK-Medium" w:hAnsi="MHeiHK-Medium" w:hint="eastAsia"/>
          <w:lang w:eastAsia="zh-TW"/>
        </w:rPr>
        <w:t>或交易的任何後續實體向美國證券交易委員會提交的</w:t>
      </w:r>
      <w:r w:rsidRPr="007B3BE3">
        <w:rPr>
          <w:rFonts w:ascii="MHeiHK-Medium" w:eastAsia="MHeiHK-Medium" w:hAnsi="MHeiHK-Medium"/>
          <w:lang w:eastAsia="zh-TW"/>
        </w:rPr>
        <w:t>F-4</w:t>
      </w:r>
      <w:r w:rsidRPr="007B3BE3">
        <w:rPr>
          <w:rFonts w:ascii="MHeiHK-Medium" w:eastAsia="MHeiHK-Medium" w:hAnsi="MHeiHK-Medium" w:hint="eastAsia"/>
          <w:lang w:eastAsia="zh-TW"/>
        </w:rPr>
        <w:t>表格註冊聲明中，其中將包括</w:t>
      </w:r>
      <w:r w:rsidRPr="007B3BE3">
        <w:rPr>
          <w:rFonts w:ascii="MHeiHK-Medium" w:eastAsia="MHeiHK-Medium" w:hAnsi="MHeiHK-Medium"/>
          <w:lang w:eastAsia="zh-TW"/>
        </w:rPr>
        <w:t>TGVC</w:t>
      </w:r>
      <w:r w:rsidRPr="007B3BE3">
        <w:rPr>
          <w:rFonts w:ascii="MHeiHK-Medium" w:eastAsia="MHeiHK-Medium" w:hAnsi="MHeiHK-Medium" w:hint="eastAsia"/>
          <w:lang w:eastAsia="zh-TW"/>
        </w:rPr>
        <w:t>的代理聲明。</w:t>
      </w:r>
    </w:p>
    <w:p w14:paraId="79A60D37" w14:textId="77777777" w:rsidR="007B3BE3" w:rsidRPr="007B3BE3" w:rsidRDefault="007B3BE3" w:rsidP="007B3BE3">
      <w:pPr>
        <w:pStyle w:val="Normal1"/>
        <w:snapToGrid w:val="0"/>
        <w:rPr>
          <w:rFonts w:ascii="MHeiHK-Medium" w:eastAsia="MHeiHK-Medium" w:hAnsi="MHeiHK-Medium"/>
          <w:lang w:eastAsia="zh-TW"/>
        </w:rPr>
      </w:pPr>
    </w:p>
    <w:p w14:paraId="7255E738" w14:textId="77777777" w:rsidR="007B3BE3" w:rsidRPr="007B3BE3" w:rsidRDefault="007B3BE3" w:rsidP="007B3BE3">
      <w:pPr>
        <w:pStyle w:val="Normal1"/>
        <w:snapToGrid w:val="0"/>
        <w:rPr>
          <w:rFonts w:ascii="MHeiHK-Medium" w:eastAsia="MHeiHK-Medium" w:hAnsi="MHeiHK-Medium"/>
          <w:b/>
          <w:bCs/>
          <w:lang w:eastAsia="zh-TW"/>
        </w:rPr>
      </w:pPr>
      <w:r w:rsidRPr="007B3BE3">
        <w:rPr>
          <w:rFonts w:ascii="MHeiHK-Medium" w:eastAsia="MHeiHK-Medium" w:hAnsi="MHeiHK-Medium" w:hint="eastAsia"/>
          <w:b/>
          <w:bCs/>
          <w:lang w:eastAsia="zh-TW"/>
        </w:rPr>
        <w:t>非招攬條款</w:t>
      </w:r>
    </w:p>
    <w:p w14:paraId="64945371"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hint="eastAsia"/>
          <w:lang w:eastAsia="zh-TW"/>
        </w:rPr>
        <w:t>本新聞稿並無關於任何證券或潛在交易的代理聲明或代理、同意或授權的徵求，也不構成出售要約或購買</w:t>
      </w:r>
      <w:r w:rsidRPr="007B3BE3">
        <w:rPr>
          <w:rFonts w:ascii="MHeiHK-Medium" w:eastAsia="MHeiHK-Medium" w:hAnsi="MHeiHK-Medium"/>
          <w:lang w:eastAsia="zh-TW"/>
        </w:rPr>
        <w:t>TGVC</w:t>
      </w:r>
      <w:r w:rsidRPr="007B3BE3">
        <w:rPr>
          <w:rFonts w:ascii="MHeiHK-Medium" w:eastAsia="MHeiHK-Medium" w:hAnsi="MHeiHK-Medium" w:hint="eastAsia"/>
          <w:lang w:eastAsia="zh-TW"/>
        </w:rPr>
        <w:t>、</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或交易的任何後續實體證券的要約徵求。如根據該州或司法管轄區的證券法，在根據該州的證券法進行註冊或取得資格之前，此類要約、招攬或出售屬於違法，也不會在該州或司法管轄區有任何就這證劵的要約、邀請或出售。</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或交易的任何後續實體，也不得在任何州或司法管轄區出售任何此類證券。除非通過符合經修訂的</w:t>
      </w:r>
      <w:r w:rsidRPr="007B3BE3">
        <w:rPr>
          <w:rFonts w:ascii="MHeiHK-Medium" w:eastAsia="MHeiHK-Medium" w:hAnsi="MHeiHK-Medium"/>
          <w:lang w:eastAsia="zh-TW"/>
        </w:rPr>
        <w:t>1933</w:t>
      </w:r>
      <w:r w:rsidRPr="007B3BE3">
        <w:rPr>
          <w:rFonts w:ascii="MHeiHK-Medium" w:eastAsia="MHeiHK-Medium" w:hAnsi="MHeiHK-Medium" w:hint="eastAsia"/>
          <w:lang w:eastAsia="zh-TW"/>
        </w:rPr>
        <w:t>年證券法（「證券法」）要求的招股說明書，否則不得發行證券。</w:t>
      </w:r>
    </w:p>
    <w:p w14:paraId="2951F8E2" w14:textId="77777777" w:rsidR="007B3BE3" w:rsidRPr="007B3BE3" w:rsidRDefault="007B3BE3" w:rsidP="007B3BE3">
      <w:pPr>
        <w:pStyle w:val="Normal1"/>
        <w:snapToGrid w:val="0"/>
        <w:rPr>
          <w:rFonts w:ascii="MHeiHK-Medium" w:eastAsia="MHeiHK-Medium" w:hAnsi="MHeiHK-Medium"/>
          <w:lang w:eastAsia="zh-TW"/>
        </w:rPr>
      </w:pPr>
    </w:p>
    <w:p w14:paraId="48C5BFFB" w14:textId="77777777" w:rsidR="007B3BE3" w:rsidRPr="007B3BE3" w:rsidRDefault="007B3BE3" w:rsidP="007B3BE3">
      <w:pPr>
        <w:pStyle w:val="Normal1"/>
        <w:snapToGrid w:val="0"/>
        <w:rPr>
          <w:rFonts w:ascii="MHeiHK-Medium" w:eastAsia="MHeiHK-Medium" w:hAnsi="MHeiHK-Medium"/>
          <w:b/>
          <w:bCs/>
          <w:lang w:eastAsia="zh-TW"/>
        </w:rPr>
      </w:pPr>
      <w:r w:rsidRPr="007B3BE3">
        <w:rPr>
          <w:rFonts w:ascii="MHeiHK-Medium" w:eastAsia="MHeiHK-Medium" w:hAnsi="MHeiHK-Medium" w:hint="eastAsia"/>
          <w:b/>
          <w:bCs/>
          <w:lang w:eastAsia="zh-TW"/>
        </w:rPr>
        <w:t>前瞻性陳述</w:t>
      </w:r>
    </w:p>
    <w:p w14:paraId="6562DDC4" w14:textId="77777777" w:rsidR="007B3BE3" w:rsidRPr="007B3BE3" w:rsidRDefault="007B3BE3" w:rsidP="007B3BE3">
      <w:pPr>
        <w:pStyle w:val="Normal1"/>
        <w:snapToGrid w:val="0"/>
        <w:rPr>
          <w:rFonts w:ascii="MHeiHK-Medium" w:eastAsia="MHeiHK-Medium" w:hAnsi="MHeiHK-Medium"/>
          <w:lang w:eastAsia="zh-TW"/>
        </w:rPr>
      </w:pPr>
      <w:r w:rsidRPr="007B3BE3">
        <w:rPr>
          <w:rFonts w:ascii="MHeiHK-Medium" w:eastAsia="MHeiHK-Medium" w:hAnsi="MHeiHK-Medium" w:hint="eastAsia"/>
          <w:lang w:eastAsia="zh-TW"/>
        </w:rPr>
        <w:t>本新聞稿包</w:t>
      </w:r>
      <w:r w:rsidRPr="007B3BE3">
        <w:rPr>
          <w:rFonts w:ascii="MHeiHK-Medium" w:eastAsia="MHeiHK-Medium" w:hAnsi="MHeiHK-Medium"/>
          <w:lang w:eastAsia="zh-TW"/>
        </w:rPr>
        <w:t>1995</w:t>
      </w:r>
      <w:r w:rsidRPr="007B3BE3">
        <w:rPr>
          <w:rFonts w:ascii="MHeiHK-Medium" w:eastAsia="MHeiHK-Medium" w:hAnsi="MHeiHK-Medium" w:hint="eastAsia"/>
          <w:lang w:eastAsia="zh-TW"/>
        </w:rPr>
        <w:t>年美國私人證券訴訟改革法案含義內的前瞻性陳述。前瞻性陳述包括所有非歷史性事實。這些前瞻性陳述包括有關建議交易的預期完成時間的陳述、</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展開整合策略的意圖，及</w:t>
      </w:r>
      <w:r w:rsidRPr="007B3BE3">
        <w:rPr>
          <w:rFonts w:ascii="MHeiHK-Medium" w:eastAsia="MHeiHK-Medium" w:hAnsi="MHeiHK-Medium"/>
          <w:lang w:eastAsia="zh-TW"/>
        </w:rPr>
        <w:t>Flexi</w:t>
      </w:r>
      <w:r w:rsidRPr="007B3BE3">
        <w:rPr>
          <w:rFonts w:ascii="MHeiHK-Medium" w:eastAsia="MHeiHK-Medium" w:hAnsi="MHeiHK-Medium" w:hint="eastAsia"/>
          <w:lang w:eastAsia="zh-TW"/>
        </w:rPr>
        <w:t>的預期收入。這些前瞻性陳述都建基於</w:t>
      </w:r>
      <w:r w:rsidRPr="007B3BE3">
        <w:rPr>
          <w:rFonts w:ascii="MHeiHK-Medium" w:eastAsia="MHeiHK-Medium" w:hAnsi="MHeiHK-Medium"/>
          <w:lang w:eastAsia="zh-TW"/>
        </w:rPr>
        <w:t>TGVC</w:t>
      </w:r>
      <w:r w:rsidRPr="007B3BE3">
        <w:rPr>
          <w:rFonts w:ascii="MHeiHK-Medium" w:eastAsia="MHeiHK-Medium" w:hAnsi="MHeiHK-Medium" w:hint="eastAsia"/>
          <w:lang w:eastAsia="zh-TW"/>
        </w:rPr>
        <w:t>和</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目前就未來發展及其潛在影響對</w:t>
      </w:r>
      <w:r w:rsidRPr="007B3BE3">
        <w:rPr>
          <w:rFonts w:ascii="MHeiHK-Medium" w:eastAsia="MHeiHK-Medium" w:hAnsi="MHeiHK-Medium"/>
          <w:lang w:eastAsia="zh-TW"/>
        </w:rPr>
        <w:t>TGVC</w:t>
      </w:r>
      <w:r w:rsidRPr="007B3BE3">
        <w:rPr>
          <w:rFonts w:ascii="MHeiHK-Medium" w:eastAsia="MHeiHK-Medium" w:hAnsi="MHeiHK-Medium" w:hint="eastAsia"/>
          <w:lang w:eastAsia="zh-TW"/>
        </w:rPr>
        <w:t>、</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或交易的任何後續實體的的預想和信念。前瞻性陳述建基於各種假設，無論本新聞稿中有否認明，均受到風險和不確定性的影響。這些前瞻性陳述不是未來表現的保證。</w:t>
      </w:r>
    </w:p>
    <w:p w14:paraId="5CF5A942" w14:textId="1CE2A363" w:rsidR="007B3BE3" w:rsidRPr="008825D5" w:rsidRDefault="007B3BE3" w:rsidP="007B3BE3">
      <w:pPr>
        <w:pStyle w:val="Normal1"/>
        <w:snapToGrid w:val="0"/>
        <w:spacing w:line="240" w:lineRule="auto"/>
        <w:rPr>
          <w:rFonts w:ascii="MHeiHK-Medium" w:eastAsia="MHeiHK-Medium" w:hAnsi="MHeiHK-Medium" w:hint="eastAsia"/>
          <w:lang w:eastAsia="zh-TW"/>
        </w:rPr>
      </w:pPr>
      <w:r w:rsidRPr="007B3BE3">
        <w:rPr>
          <w:rFonts w:ascii="MHeiHK-Medium" w:eastAsia="MHeiHK-Medium" w:hAnsi="MHeiHK-Medium" w:hint="eastAsia"/>
          <w:lang w:eastAsia="zh-TW"/>
        </w:rPr>
        <w:t>許多因素可能導致實際的未來事件與本新聞稿中的前瞻性陳述存在重大差異，包括但不限於：</w:t>
      </w:r>
      <w:r w:rsidRPr="007B3BE3">
        <w:rPr>
          <w:rFonts w:ascii="MHeiHK-Medium" w:eastAsia="MHeiHK-Medium" w:hAnsi="MHeiHK-Medium"/>
          <w:lang w:eastAsia="zh-TW"/>
        </w:rPr>
        <w:t>(</w:t>
      </w:r>
      <w:proofErr w:type="spellStart"/>
      <w:r w:rsidRPr="007B3BE3">
        <w:rPr>
          <w:rFonts w:ascii="MHeiHK-Medium" w:eastAsia="MHeiHK-Medium" w:hAnsi="MHeiHK-Medium"/>
          <w:lang w:eastAsia="zh-TW"/>
        </w:rPr>
        <w:t>i</w:t>
      </w:r>
      <w:proofErr w:type="spellEnd"/>
      <w:r w:rsidRPr="007B3BE3">
        <w:rPr>
          <w:rFonts w:ascii="MHeiHK-Medium" w:eastAsia="MHeiHK-Medium" w:hAnsi="MHeiHK-Medium"/>
          <w:lang w:eastAsia="zh-TW"/>
        </w:rPr>
        <w:t xml:space="preserve">) </w:t>
      </w:r>
      <w:r w:rsidRPr="007B3BE3">
        <w:rPr>
          <w:rFonts w:ascii="MHeiHK-Medium" w:eastAsia="MHeiHK-Medium" w:hAnsi="MHeiHK-Medium" w:hint="eastAsia"/>
          <w:lang w:eastAsia="zh-TW"/>
        </w:rPr>
        <w:t>未能滿足完成交易的條件，包括得到</w:t>
      </w:r>
      <w:r w:rsidRPr="007B3BE3">
        <w:rPr>
          <w:rFonts w:ascii="MHeiHK-Medium" w:eastAsia="MHeiHK-Medium" w:hAnsi="MHeiHK-Medium"/>
          <w:lang w:eastAsia="zh-TW"/>
        </w:rPr>
        <w:t>TGVC</w:t>
      </w:r>
      <w:r w:rsidRPr="007B3BE3">
        <w:rPr>
          <w:rFonts w:ascii="MHeiHK-Medium" w:eastAsia="MHeiHK-Medium" w:hAnsi="MHeiHK-Medium" w:hint="eastAsia"/>
          <w:lang w:eastAsia="zh-TW"/>
        </w:rPr>
        <w:t>股東通過企業合併協議、</w:t>
      </w:r>
      <w:r w:rsidRPr="007B3BE3">
        <w:rPr>
          <w:rFonts w:ascii="MHeiHK-Medium" w:eastAsia="MHeiHK-Medium" w:hAnsi="MHeiHK-Medium"/>
          <w:lang w:eastAsia="zh-TW"/>
        </w:rPr>
        <w:t xml:space="preserve">TGVC </w:t>
      </w:r>
      <w:r w:rsidRPr="007B3BE3">
        <w:rPr>
          <w:rFonts w:ascii="MHeiHK-Medium" w:eastAsia="MHeiHK-Medium" w:hAnsi="MHeiHK-Medium" w:hint="eastAsia"/>
          <w:lang w:eastAsia="zh-TW"/>
        </w:rPr>
        <w:t>公眾股東贖回後滿足最低信託賬戶金額，</w:t>
      </w:r>
      <w:r w:rsidRPr="007B3BE3">
        <w:rPr>
          <w:rFonts w:ascii="MHeiHK-Medium" w:eastAsia="MHeiHK-Medium" w:hAnsi="MHeiHK-Medium"/>
          <w:lang w:eastAsia="zh-TW"/>
        </w:rPr>
        <w:t xml:space="preserve">(ii) </w:t>
      </w:r>
      <w:r w:rsidRPr="007B3BE3">
        <w:rPr>
          <w:rFonts w:ascii="MHeiHK-Medium" w:eastAsia="MHeiHK-Medium" w:hAnsi="MHeiHK-Medium" w:hint="eastAsia"/>
          <w:lang w:eastAsia="zh-TW"/>
        </w:rPr>
        <w:t>可能導致業務合併協議終止的任何事件、變化或其他情況的發生，</w:t>
      </w:r>
      <w:r w:rsidRPr="007B3BE3">
        <w:rPr>
          <w:rFonts w:ascii="MHeiHK-Medium" w:eastAsia="MHeiHK-Medium" w:hAnsi="MHeiHK-Medium"/>
          <w:lang w:eastAsia="zh-TW"/>
        </w:rPr>
        <w:t xml:space="preserve">(iii) </w:t>
      </w:r>
      <w:r w:rsidRPr="007B3BE3">
        <w:rPr>
          <w:rFonts w:ascii="MHeiHK-Medium" w:eastAsia="MHeiHK-Medium" w:hAnsi="MHeiHK-Medium" w:hint="eastAsia"/>
          <w:lang w:eastAsia="zh-TW"/>
        </w:rPr>
        <w:t>交易的公告或未決對</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的業務關係、經營成果和業務的總體影響，</w:t>
      </w:r>
      <w:r w:rsidRPr="007B3BE3">
        <w:rPr>
          <w:rFonts w:ascii="MHeiHK-Medium" w:eastAsia="MHeiHK-Medium" w:hAnsi="MHeiHK-Medium"/>
          <w:lang w:eastAsia="zh-TW"/>
        </w:rPr>
        <w:t xml:space="preserve">(iv) </w:t>
      </w:r>
      <w:r w:rsidRPr="007B3BE3">
        <w:rPr>
          <w:rFonts w:ascii="MHeiHK-Medium" w:eastAsia="MHeiHK-Medium" w:hAnsi="MHeiHK-Medium" w:hint="eastAsia"/>
          <w:lang w:eastAsia="zh-TW"/>
        </w:rPr>
        <w:t>交易擾亂</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當前計劃和營運的風險，</w:t>
      </w:r>
      <w:r w:rsidRPr="007B3BE3">
        <w:rPr>
          <w:rFonts w:ascii="MHeiHK-Medium" w:eastAsia="MHeiHK-Medium" w:hAnsi="MHeiHK-Medium"/>
          <w:lang w:eastAsia="zh-TW"/>
        </w:rPr>
        <w:t xml:space="preserve">(v) </w:t>
      </w:r>
      <w:r w:rsidRPr="007B3BE3">
        <w:rPr>
          <w:rFonts w:ascii="MHeiHK-Medium" w:eastAsia="MHeiHK-Medium" w:hAnsi="MHeiHK-Medium" w:hint="eastAsia"/>
          <w:lang w:eastAsia="zh-TW"/>
        </w:rPr>
        <w:t>可能針對</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或</w:t>
      </w:r>
      <w:r w:rsidRPr="007B3BE3">
        <w:rPr>
          <w:rFonts w:ascii="MHeiHK-Medium" w:eastAsia="MHeiHK-Medium" w:hAnsi="MHeiHK-Medium"/>
          <w:lang w:eastAsia="zh-TW"/>
        </w:rPr>
        <w:t>TGVC</w:t>
      </w:r>
      <w:r w:rsidRPr="007B3BE3">
        <w:rPr>
          <w:rFonts w:ascii="MHeiHK-Medium" w:eastAsia="MHeiHK-Medium" w:hAnsi="MHeiHK-Medium" w:hint="eastAsia"/>
          <w:lang w:eastAsia="zh-TW"/>
        </w:rPr>
        <w:t>提起的與業務合併協議或建議交易相關的任何法律訴訟的結果，</w:t>
      </w:r>
      <w:r w:rsidRPr="007B3BE3">
        <w:rPr>
          <w:rFonts w:ascii="MHeiHK-Medium" w:eastAsia="MHeiHK-Medium" w:hAnsi="MHeiHK-Medium"/>
          <w:lang w:eastAsia="zh-TW"/>
        </w:rPr>
        <w:t xml:space="preserve">(vi) </w:t>
      </w:r>
      <w:r w:rsidRPr="007B3BE3">
        <w:rPr>
          <w:rFonts w:ascii="MHeiHK-Medium" w:eastAsia="MHeiHK-Medium" w:hAnsi="MHeiHK-Medium" w:hint="eastAsia"/>
          <w:lang w:eastAsia="zh-TW"/>
        </w:rPr>
        <w:t>與交易相關的成本以及未能實現交易的預期收益或未能實現估計的備考結果和基本假設，包括預算被股東贖回的股份，</w:t>
      </w:r>
      <w:r w:rsidRPr="007B3BE3">
        <w:rPr>
          <w:rFonts w:ascii="MHeiHK-Medium" w:eastAsia="MHeiHK-Medium" w:hAnsi="MHeiHK-Medium"/>
          <w:lang w:eastAsia="zh-TW"/>
        </w:rPr>
        <w:t>(vii) The Flexi Group</w:t>
      </w:r>
      <w:r w:rsidRPr="007B3BE3">
        <w:rPr>
          <w:rFonts w:ascii="MHeiHK-Medium" w:eastAsia="MHeiHK-Medium" w:hAnsi="MHeiHK-Medium" w:hint="eastAsia"/>
          <w:lang w:eastAsia="zh-TW"/>
        </w:rPr>
        <w:t>及其當前和未來的合作者無法成功開發和商業化</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的產品或服務，或在開發和商業化方面遇到重大延誤的風險，</w:t>
      </w:r>
      <w:r w:rsidRPr="007B3BE3">
        <w:rPr>
          <w:rFonts w:ascii="MHeiHK-Medium" w:eastAsia="MHeiHK-Medium" w:hAnsi="MHeiHK-Medium"/>
          <w:lang w:eastAsia="zh-TW"/>
        </w:rPr>
        <w:t>(viii) The Flexi Group</w:t>
      </w:r>
      <w:r w:rsidRPr="007B3BE3">
        <w:rPr>
          <w:rFonts w:ascii="MHeiHK-Medium" w:eastAsia="MHeiHK-Medium" w:hAnsi="MHeiHK-Medium" w:hint="eastAsia"/>
          <w:lang w:eastAsia="zh-TW"/>
        </w:rPr>
        <w:t>可能需要籌集額外資金以執行其業務計劃，在可接受條件內無法找到或根本無法獲得的風險，及</w:t>
      </w:r>
      <w:r w:rsidRPr="007B3BE3">
        <w:rPr>
          <w:rFonts w:ascii="MHeiHK-Medium" w:eastAsia="MHeiHK-Medium" w:hAnsi="MHeiHK-Medium"/>
          <w:lang w:eastAsia="zh-TW"/>
        </w:rPr>
        <w:t xml:space="preserve">(ix) </w:t>
      </w:r>
      <w:r w:rsidRPr="007B3BE3">
        <w:rPr>
          <w:rFonts w:ascii="MHeiHK-Medium" w:eastAsia="MHeiHK-Medium" w:hAnsi="MHeiHK-Medium" w:hint="eastAsia"/>
          <w:lang w:eastAsia="zh-TW"/>
        </w:rPr>
        <w:t>合併後公司在管理其增長和擴張業務方面遇到</w:t>
      </w:r>
      <w:r w:rsidRPr="007B3BE3">
        <w:rPr>
          <w:rFonts w:ascii="MHeiHK-Medium" w:eastAsia="MHeiHK-Medium" w:hAnsi="MHeiHK-Medium" w:hint="eastAsia"/>
          <w:lang w:eastAsia="zh-TW"/>
        </w:rPr>
        <w:lastRenderedPageBreak/>
        <w:t>困難的風險。上述因素列表並不詳盡。閣下應不時仔細考慮上述因素以及上述</w:t>
      </w:r>
      <w:r w:rsidRPr="007B3BE3">
        <w:rPr>
          <w:rFonts w:ascii="MHeiHK-Medium" w:eastAsia="MHeiHK-Medium" w:hAnsi="MHeiHK-Medium"/>
          <w:lang w:eastAsia="zh-TW"/>
        </w:rPr>
        <w:t>F-4</w:t>
      </w:r>
      <w:r w:rsidRPr="007B3BE3">
        <w:rPr>
          <w:rFonts w:ascii="MHeiHK-Medium" w:eastAsia="MHeiHK-Medium" w:hAnsi="MHeiHK-Medium" w:hint="eastAsia"/>
          <w:lang w:eastAsia="zh-TW"/>
        </w:rPr>
        <w:t>表格註冊聲明的「風險因素」部分和上述代理聲明</w:t>
      </w:r>
      <w:r w:rsidRPr="007B3BE3">
        <w:rPr>
          <w:rFonts w:ascii="MHeiHK-Medium" w:eastAsia="MHeiHK-Medium" w:hAnsi="MHeiHK-Medium"/>
          <w:lang w:eastAsia="zh-TW"/>
        </w:rPr>
        <w:t>/</w:t>
      </w:r>
      <w:r w:rsidRPr="007B3BE3">
        <w:rPr>
          <w:rFonts w:ascii="MHeiHK-Medium" w:eastAsia="MHeiHK-Medium" w:hAnsi="MHeiHK-Medium" w:hint="eastAsia"/>
          <w:lang w:eastAsia="zh-TW"/>
        </w:rPr>
        <w:t>招股說明書以及</w:t>
      </w:r>
      <w:r w:rsidRPr="007B3BE3">
        <w:rPr>
          <w:rFonts w:ascii="MHeiHK-Medium" w:eastAsia="MHeiHK-Medium" w:hAnsi="MHeiHK-Medium"/>
          <w:lang w:eastAsia="zh-TW"/>
        </w:rPr>
        <w:t>TGVC</w:t>
      </w:r>
      <w:r w:rsidRPr="007B3BE3">
        <w:rPr>
          <w:rFonts w:ascii="MHeiHK-Medium" w:eastAsia="MHeiHK-Medium" w:hAnsi="MHeiHK-Medium" w:hint="eastAsia"/>
          <w:lang w:eastAsia="zh-TW"/>
        </w:rPr>
        <w:t>、</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和</w:t>
      </w:r>
      <w:r w:rsidRPr="007B3BE3">
        <w:rPr>
          <w:rFonts w:ascii="MHeiHK-Medium" w:eastAsia="MHeiHK-Medium" w:hAnsi="MHeiHK-Medium"/>
          <w:lang w:eastAsia="zh-TW"/>
        </w:rPr>
        <w:t>/</w:t>
      </w:r>
      <w:r w:rsidRPr="007B3BE3">
        <w:rPr>
          <w:rFonts w:ascii="MHeiHK-Medium" w:eastAsia="MHeiHK-Medium" w:hAnsi="MHeiHK-Medium" w:hint="eastAsia"/>
          <w:lang w:eastAsia="zh-TW"/>
        </w:rPr>
        <w:t>或交易的後續實體已提交或將向美國證券交易委員會提交的其他文件中描述的其他風險和不確定性。這些文件確認並指出了其他可能導致實際事件和結果與前瞻性陳述中包含的事件和結果存在重大差異的重要風險和不確定性。前瞻性陳述僅代表發表之日的情況。提醒讀者不要過分依賴前瞻性陳述，無論是由於新信息、未來事件或其他原因，除法律規定，</w:t>
      </w:r>
      <w:r w:rsidRPr="007B3BE3">
        <w:rPr>
          <w:rFonts w:ascii="MHeiHK-Medium" w:eastAsia="MHeiHK-Medium" w:hAnsi="MHeiHK-Medium"/>
          <w:lang w:eastAsia="zh-TW"/>
        </w:rPr>
        <w:t>The Flexi Group</w:t>
      </w:r>
      <w:r w:rsidRPr="007B3BE3">
        <w:rPr>
          <w:rFonts w:ascii="MHeiHK-Medium" w:eastAsia="MHeiHK-Medium" w:hAnsi="MHeiHK-Medium" w:hint="eastAsia"/>
          <w:lang w:eastAsia="zh-TW"/>
        </w:rPr>
        <w:t>和</w:t>
      </w:r>
      <w:r w:rsidRPr="007B3BE3">
        <w:rPr>
          <w:rFonts w:ascii="MHeiHK-Medium" w:eastAsia="MHeiHK-Medium" w:hAnsi="MHeiHK-Medium"/>
          <w:lang w:eastAsia="zh-TW"/>
        </w:rPr>
        <w:t>TGVC</w:t>
      </w:r>
      <w:r w:rsidRPr="007B3BE3">
        <w:rPr>
          <w:rFonts w:ascii="MHeiHK-Medium" w:eastAsia="MHeiHK-Medium" w:hAnsi="MHeiHK-Medium" w:hint="eastAsia"/>
          <w:lang w:eastAsia="zh-TW"/>
        </w:rPr>
        <w:t>不會承擔任何義務，也不會更新或修改這些前瞻性陳述。</w:t>
      </w:r>
    </w:p>
    <w:p w14:paraId="3C1E747F" w14:textId="5575204E" w:rsidR="008825D5" w:rsidRDefault="008825D5" w:rsidP="007B3BE3">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MHeiHK-Medium" w:eastAsia="MHeiHK-Medium" w:hAnsi="MHeiHK-Medium"/>
          <w:sz w:val="16"/>
          <w:szCs w:val="16"/>
        </w:rPr>
      </w:pPr>
    </w:p>
    <w:p w14:paraId="0965392A" w14:textId="77777777" w:rsidR="00E35DDF" w:rsidRPr="00F14DCB" w:rsidRDefault="00E35DDF" w:rsidP="007B3BE3">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MHeiHK-Medium" w:eastAsia="MHeiHK-Medium" w:hAnsi="MHeiHK-Medium"/>
          <w:sz w:val="16"/>
          <w:szCs w:val="16"/>
        </w:rPr>
      </w:pPr>
    </w:p>
    <w:p w14:paraId="13418F76" w14:textId="4000159E" w:rsidR="00B9171C" w:rsidRPr="008825D5" w:rsidRDefault="00266178" w:rsidP="007B3BE3">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MHeiHK-Medium" w:eastAsia="MHeiHK-Medium" w:hAnsi="MHeiHK-Medium" w:cs="Arial"/>
          <w:color w:val="000000"/>
          <w:sz w:val="22"/>
          <w:szCs w:val="22"/>
          <w:lang w:val="en"/>
        </w:rPr>
      </w:pPr>
      <w:r w:rsidRPr="008825D5">
        <w:rPr>
          <w:rFonts w:ascii="MHeiHK-Medium" w:eastAsia="MHeiHK-Medium" w:hAnsi="MHeiHK-Medium" w:cs="Arial"/>
          <w:color w:val="000000"/>
          <w:sz w:val="22"/>
          <w:szCs w:val="22"/>
          <w:lang w:val="en"/>
        </w:rPr>
        <w:t>-完-</w:t>
      </w:r>
    </w:p>
    <w:p w14:paraId="65FB9D56" w14:textId="77777777" w:rsidR="00E35DDF" w:rsidRDefault="00E35DDF" w:rsidP="007B3BE3">
      <w:pPr>
        <w:pBdr>
          <w:top w:val="none" w:sz="0" w:space="0" w:color="000000"/>
          <w:left w:val="none" w:sz="0" w:space="0" w:color="000000"/>
          <w:bottom w:val="none" w:sz="0" w:space="0" w:color="000000"/>
          <w:right w:val="none" w:sz="0" w:space="0" w:color="000000"/>
          <w:between w:val="none" w:sz="0" w:space="0" w:color="000000"/>
        </w:pBdr>
        <w:jc w:val="both"/>
        <w:rPr>
          <w:rFonts w:ascii="MHeiHK-Medium" w:eastAsia="MHeiHK-Medium" w:hAnsi="MHeiHK-Medium" w:cs="Arial"/>
          <w:b/>
          <w:color w:val="2C2E50"/>
          <w:sz w:val="22"/>
          <w:szCs w:val="22"/>
          <w:lang w:val="en" w:eastAsia="ja-JP"/>
        </w:rPr>
      </w:pPr>
    </w:p>
    <w:p w14:paraId="4BDDE6F7" w14:textId="0D8D0911" w:rsidR="00266178" w:rsidRPr="008825D5" w:rsidRDefault="007B3BE3" w:rsidP="007B3BE3">
      <w:pPr>
        <w:pBdr>
          <w:top w:val="none" w:sz="0" w:space="0" w:color="000000"/>
          <w:left w:val="none" w:sz="0" w:space="0" w:color="000000"/>
          <w:bottom w:val="none" w:sz="0" w:space="0" w:color="000000"/>
          <w:right w:val="none" w:sz="0" w:space="0" w:color="000000"/>
          <w:between w:val="none" w:sz="0" w:space="0" w:color="000000"/>
        </w:pBdr>
        <w:jc w:val="both"/>
        <w:rPr>
          <w:rFonts w:ascii="MHeiHK-Medium" w:eastAsia="MHeiHK-Medium" w:hAnsi="MHeiHK-Medium" w:cs="Arial"/>
          <w:b/>
          <w:color w:val="2C2E50"/>
          <w:sz w:val="22"/>
          <w:szCs w:val="22"/>
          <w:lang w:val="en" w:eastAsia="ja-JP"/>
        </w:rPr>
      </w:pPr>
      <w:r>
        <w:rPr>
          <w:rFonts w:ascii="MHeiHK-Medium" w:eastAsia="MHeiHK-Medium" w:hAnsi="MHeiHK-Medium" w:cs="Arial" w:hint="eastAsia"/>
          <w:b/>
          <w:color w:val="2C2E50"/>
          <w:sz w:val="22"/>
          <w:szCs w:val="22"/>
          <w:lang w:val="en"/>
        </w:rPr>
        <w:t>聯絡</w:t>
      </w:r>
      <w:r w:rsidR="00266178" w:rsidRPr="008825D5">
        <w:rPr>
          <w:rFonts w:ascii="MHeiHK-Medium" w:eastAsia="MHeiHK-Medium" w:hAnsi="MHeiHK-Medium" w:cs="Arial"/>
          <w:b/>
          <w:color w:val="2C2E50"/>
          <w:sz w:val="22"/>
          <w:szCs w:val="22"/>
          <w:lang w:val="en" w:eastAsia="ja-JP"/>
        </w:rPr>
        <w:t>：</w:t>
      </w:r>
    </w:p>
    <w:p w14:paraId="1418B499" w14:textId="719B49F7" w:rsidR="007B3BE3" w:rsidRDefault="007B3BE3" w:rsidP="007B3BE3">
      <w:pPr>
        <w:pBdr>
          <w:top w:val="nil"/>
          <w:left w:val="nil"/>
          <w:bottom w:val="nil"/>
          <w:right w:val="nil"/>
          <w:between w:val="nil"/>
        </w:pBdr>
        <w:jc w:val="both"/>
        <w:rPr>
          <w:rFonts w:ascii="MHeiHK-Medium" w:eastAsia="MHeiHK-Medium" w:hAnsi="MHeiHK-Medium" w:cs="Arial"/>
          <w:color w:val="000000"/>
          <w:sz w:val="22"/>
          <w:szCs w:val="22"/>
          <w:lang w:val="en" w:eastAsia="ja-JP"/>
        </w:rPr>
      </w:pPr>
      <w:r>
        <w:rPr>
          <w:rFonts w:ascii="Arial" w:hAnsi="Arial"/>
          <w:noProof/>
        </w:rPr>
        <mc:AlternateContent>
          <mc:Choice Requires="wps">
            <w:drawing>
              <wp:inline distT="0" distB="0" distL="0" distR="0" wp14:anchorId="6D773370" wp14:editId="71E3923D">
                <wp:extent cx="5943600" cy="1018705"/>
                <wp:effectExtent l="0" t="0" r="0" b="0"/>
                <wp:docPr id="4" name="Rectangle 4" descr="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8705"/>
                        </a:xfrm>
                        <a:prstGeom prst="rect">
                          <a:avLst/>
                        </a:prstGeom>
                        <a:solidFill>
                          <a:srgbClr val="D9D9D9"/>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5C2EC634" w14:textId="77777777" w:rsidR="007B3BE3" w:rsidRPr="00A76001" w:rsidRDefault="007B3BE3" w:rsidP="007B3BE3">
                            <w:pPr>
                              <w:pStyle w:val="Body"/>
                              <w:spacing w:line="360" w:lineRule="auto"/>
                              <w:rPr>
                                <w:rFonts w:ascii="Helvetica" w:eastAsia="Arial" w:hAnsi="Helvetica" w:cs="Arial"/>
                                <w:b/>
                                <w:bCs/>
                                <w:color w:val="002060"/>
                                <w:sz w:val="22"/>
                                <w:szCs w:val="22"/>
                                <w:u w:color="222A35"/>
                              </w:rPr>
                            </w:pPr>
                            <w:r w:rsidRPr="00A76001">
                              <w:rPr>
                                <w:rFonts w:ascii="Helvetica" w:hAnsi="Helvetica"/>
                                <w:b/>
                                <w:bCs/>
                                <w:color w:val="002060"/>
                                <w:sz w:val="22"/>
                                <w:szCs w:val="22"/>
                                <w:u w:color="222A35"/>
                              </w:rPr>
                              <w:t>T</w:t>
                            </w:r>
                            <w:r>
                              <w:rPr>
                                <w:rFonts w:ascii="Helvetica" w:hAnsi="Helvetica"/>
                                <w:b/>
                                <w:bCs/>
                                <w:color w:val="002060"/>
                                <w:sz w:val="22"/>
                                <w:szCs w:val="22"/>
                                <w:u w:color="222A35"/>
                              </w:rPr>
                              <w:t>he Flexi</w:t>
                            </w:r>
                            <w:r w:rsidRPr="00A76001">
                              <w:rPr>
                                <w:rFonts w:ascii="Helvetica" w:hAnsi="Helvetica"/>
                                <w:b/>
                                <w:bCs/>
                                <w:color w:val="002060"/>
                                <w:sz w:val="22"/>
                                <w:szCs w:val="22"/>
                                <w:u w:color="222A35"/>
                              </w:rPr>
                              <w:t xml:space="preserve"> Group </w:t>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p>
                          <w:p w14:paraId="0976A325" w14:textId="03D82E7C" w:rsidR="007B3BE3" w:rsidRPr="00382983" w:rsidRDefault="007B3BE3" w:rsidP="007B3BE3">
                            <w:pPr>
                              <w:pStyle w:val="Body"/>
                              <w:spacing w:line="360" w:lineRule="auto"/>
                              <w:rPr>
                                <w:rFonts w:ascii="Helvetica" w:eastAsia="Arial" w:hAnsi="Helvetica" w:cs="Arial"/>
                                <w:sz w:val="22"/>
                                <w:szCs w:val="22"/>
                              </w:rPr>
                            </w:pPr>
                            <w:r w:rsidRPr="00B02C0C">
                              <w:rPr>
                                <w:rFonts w:ascii="Helvetica" w:hAnsi="Helvetica"/>
                                <w:sz w:val="22"/>
                                <w:szCs w:val="22"/>
                              </w:rPr>
                              <w:t>Dominique Backhouse</w:t>
                            </w:r>
                            <w:r w:rsidRPr="00382983">
                              <w:rPr>
                                <w:rFonts w:ascii="Helvetica" w:hAnsi="Helvetica"/>
                                <w:sz w:val="22"/>
                                <w:szCs w:val="22"/>
                              </w:rPr>
                              <w:tab/>
                            </w:r>
                            <w:r w:rsidRPr="00382983">
                              <w:rPr>
                                <w:rFonts w:ascii="Helvetica" w:hAnsi="Helvetica"/>
                                <w:sz w:val="22"/>
                                <w:szCs w:val="22"/>
                              </w:rPr>
                              <w:tab/>
                            </w:r>
                            <w:r w:rsidRPr="00382983">
                              <w:rPr>
                                <w:rFonts w:ascii="Helvetica" w:hAnsi="Helvetica"/>
                                <w:sz w:val="22"/>
                                <w:szCs w:val="22"/>
                              </w:rPr>
                              <w:tab/>
                            </w:r>
                            <w:r w:rsidRPr="00382983">
                              <w:rPr>
                                <w:rFonts w:ascii="Helvetica" w:hAnsi="Helvetica"/>
                                <w:sz w:val="22"/>
                                <w:szCs w:val="22"/>
                              </w:rPr>
                              <w:tab/>
                            </w:r>
                            <w:r w:rsidRPr="00B02C0C">
                              <w:rPr>
                                <w:rFonts w:ascii="Helvetica" w:hAnsi="Helvetica"/>
                                <w:sz w:val="22"/>
                                <w:szCs w:val="22"/>
                              </w:rPr>
                              <w:t>Chris Edwards</w:t>
                            </w:r>
                            <w:r w:rsidRPr="00382983">
                              <w:rPr>
                                <w:rFonts w:ascii="Helvetica" w:hAnsi="Helvetica"/>
                                <w:sz w:val="22"/>
                                <w:szCs w:val="22"/>
                              </w:rPr>
                              <w:t xml:space="preserve"> </w:t>
                            </w:r>
                          </w:p>
                          <w:p w14:paraId="275D6549" w14:textId="77777777" w:rsidR="007B3BE3" w:rsidRPr="003A39F6" w:rsidRDefault="007B3BE3" w:rsidP="007B3BE3">
                            <w:pPr>
                              <w:pStyle w:val="Body"/>
                              <w:spacing w:line="360" w:lineRule="auto"/>
                              <w:rPr>
                                <w:rFonts w:ascii="Microsoft JhengHei" w:eastAsia="Microsoft JhengHei" w:hAnsi="Microsoft JhengHei" w:cs="Microsoft JhengHei"/>
                                <w:sz w:val="22"/>
                                <w:szCs w:val="22"/>
                                <w:u w:val="single"/>
                                <w:lang w:eastAsia="zh-TW"/>
                              </w:rPr>
                            </w:pPr>
                            <w:hyperlink r:id="rId9" w:history="1">
                              <w:r w:rsidRPr="00B02C0C">
                                <w:rPr>
                                  <w:rStyle w:val="Hyperlink1"/>
                                  <w:rFonts w:ascii="Helvetica" w:hAnsi="Helvetica"/>
                                  <w:sz w:val="22"/>
                                  <w:szCs w:val="22"/>
                                </w:rPr>
                                <w:t>dominique@companioncommunications.com</w:t>
                              </w:r>
                            </w:hyperlink>
                            <w:r w:rsidRPr="00B02C0C">
                              <w:rPr>
                                <w:rFonts w:ascii="Helvetica" w:eastAsia="Arial" w:hAnsi="Helvetica" w:cs="Arial"/>
                                <w:color w:val="1155CC"/>
                                <w:sz w:val="22"/>
                                <w:szCs w:val="22"/>
                                <w:u w:color="1155CC"/>
                              </w:rPr>
                              <w:tab/>
                            </w:r>
                            <w:hyperlink r:id="rId10" w:history="1">
                              <w:r w:rsidRPr="00B02C0C">
                                <w:rPr>
                                  <w:rStyle w:val="Hyperlink"/>
                                  <w:rFonts w:ascii="Helvetica" w:eastAsia="Arial" w:hAnsi="Helvetica" w:cs="Arial"/>
                                  <w:color w:val="3333FF"/>
                                  <w:sz w:val="22"/>
                                  <w:szCs w:val="22"/>
                                </w:rPr>
                                <w:t>chris.edwards@theflexigroup.com</w:t>
                              </w:r>
                            </w:hyperlink>
                          </w:p>
                        </w:txbxContent>
                      </wps:txbx>
                      <wps:bodyPr rot="0" vert="horz" wrap="square" lIns="45720" tIns="45720" rIns="45720" bIns="45720" anchor="ctr" anchorCtr="0" upright="1">
                        <a:noAutofit/>
                      </wps:bodyPr>
                    </wps:wsp>
                  </a:graphicData>
                </a:graphic>
              </wp:inline>
            </w:drawing>
          </mc:Choice>
          <mc:Fallback>
            <w:pict>
              <v:rect w14:anchorId="6D773370" id="Rectangle 4" o:spid="_x0000_s1026" alt="正方形/長方形 2" style="width:468pt;height:8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" fillcolor="#d9d9d9" stroked="f" strokeweight="1pt">
                <v:stroke miterlimit="4"/>
                <v:textbox inset="3.6pt,,3.6pt">
                  <w:txbxContent>
                    <w:p w14:paraId="5C2EC634" w14:textId="77777777" w:rsidR="007B3BE3" w:rsidRPr="00A76001" w:rsidRDefault="007B3BE3" w:rsidP="007B3BE3">
                      <w:pPr>
                        <w:pStyle w:val="Body"/>
                        <w:spacing w:line="360" w:lineRule="auto"/>
                        <w:rPr>
                          <w:rFonts w:ascii="Helvetica" w:eastAsia="Arial" w:hAnsi="Helvetica" w:cs="Arial"/>
                          <w:b/>
                          <w:bCs/>
                          <w:color w:val="002060"/>
                          <w:sz w:val="22"/>
                          <w:szCs w:val="22"/>
                          <w:u w:color="222A35"/>
                        </w:rPr>
                      </w:pPr>
                      <w:r w:rsidRPr="00A76001">
                        <w:rPr>
                          <w:rFonts w:ascii="Helvetica" w:hAnsi="Helvetica"/>
                          <w:b/>
                          <w:bCs/>
                          <w:color w:val="002060"/>
                          <w:sz w:val="22"/>
                          <w:szCs w:val="22"/>
                          <w:u w:color="222A35"/>
                        </w:rPr>
                        <w:t>T</w:t>
                      </w:r>
                      <w:r>
                        <w:rPr>
                          <w:rFonts w:ascii="Helvetica" w:hAnsi="Helvetica"/>
                          <w:b/>
                          <w:bCs/>
                          <w:color w:val="002060"/>
                          <w:sz w:val="22"/>
                          <w:szCs w:val="22"/>
                          <w:u w:color="222A35"/>
                        </w:rPr>
                        <w:t>he Flexi</w:t>
                      </w:r>
                      <w:r w:rsidRPr="00A76001">
                        <w:rPr>
                          <w:rFonts w:ascii="Helvetica" w:hAnsi="Helvetica"/>
                          <w:b/>
                          <w:bCs/>
                          <w:color w:val="002060"/>
                          <w:sz w:val="22"/>
                          <w:szCs w:val="22"/>
                          <w:u w:color="222A35"/>
                        </w:rPr>
                        <w:t xml:space="preserve"> Group </w:t>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r w:rsidRPr="00A76001">
                        <w:rPr>
                          <w:rFonts w:ascii="Helvetica" w:hAnsi="Helvetica"/>
                          <w:b/>
                          <w:bCs/>
                          <w:color w:val="002060"/>
                          <w:sz w:val="22"/>
                          <w:szCs w:val="22"/>
                          <w:u w:color="222A35"/>
                        </w:rPr>
                        <w:tab/>
                      </w:r>
                    </w:p>
                    <w:p w14:paraId="0976A325" w14:textId="03D82E7C" w:rsidR="007B3BE3" w:rsidRPr="00382983" w:rsidRDefault="007B3BE3" w:rsidP="007B3BE3">
                      <w:pPr>
                        <w:pStyle w:val="Body"/>
                        <w:spacing w:line="360" w:lineRule="auto"/>
                        <w:rPr>
                          <w:rFonts w:ascii="Helvetica" w:eastAsia="Arial" w:hAnsi="Helvetica" w:cs="Arial"/>
                          <w:sz w:val="22"/>
                          <w:szCs w:val="22"/>
                        </w:rPr>
                      </w:pPr>
                      <w:r w:rsidRPr="00B02C0C">
                        <w:rPr>
                          <w:rFonts w:ascii="Helvetica" w:hAnsi="Helvetica"/>
                          <w:sz w:val="22"/>
                          <w:szCs w:val="22"/>
                        </w:rPr>
                        <w:t>Dominique Backhouse</w:t>
                      </w:r>
                      <w:r w:rsidRPr="00382983">
                        <w:rPr>
                          <w:rFonts w:ascii="Helvetica" w:hAnsi="Helvetica"/>
                          <w:sz w:val="22"/>
                          <w:szCs w:val="22"/>
                        </w:rPr>
                        <w:tab/>
                      </w:r>
                      <w:r w:rsidRPr="00382983">
                        <w:rPr>
                          <w:rFonts w:ascii="Helvetica" w:hAnsi="Helvetica"/>
                          <w:sz w:val="22"/>
                          <w:szCs w:val="22"/>
                        </w:rPr>
                        <w:tab/>
                      </w:r>
                      <w:r w:rsidRPr="00382983">
                        <w:rPr>
                          <w:rFonts w:ascii="Helvetica" w:hAnsi="Helvetica"/>
                          <w:sz w:val="22"/>
                          <w:szCs w:val="22"/>
                        </w:rPr>
                        <w:tab/>
                      </w:r>
                      <w:r w:rsidRPr="00382983">
                        <w:rPr>
                          <w:rFonts w:ascii="Helvetica" w:hAnsi="Helvetica"/>
                          <w:sz w:val="22"/>
                          <w:szCs w:val="22"/>
                        </w:rPr>
                        <w:tab/>
                      </w:r>
                      <w:r w:rsidRPr="00B02C0C">
                        <w:rPr>
                          <w:rFonts w:ascii="Helvetica" w:hAnsi="Helvetica"/>
                          <w:sz w:val="22"/>
                          <w:szCs w:val="22"/>
                        </w:rPr>
                        <w:t>Chris Edwards</w:t>
                      </w:r>
                      <w:r w:rsidRPr="00382983">
                        <w:rPr>
                          <w:rFonts w:ascii="Helvetica" w:hAnsi="Helvetica"/>
                          <w:sz w:val="22"/>
                          <w:szCs w:val="22"/>
                        </w:rPr>
                        <w:t xml:space="preserve"> </w:t>
                      </w:r>
                    </w:p>
                    <w:p w14:paraId="275D6549" w14:textId="77777777" w:rsidR="007B3BE3" w:rsidRPr="003A39F6" w:rsidRDefault="007B3BE3" w:rsidP="007B3BE3">
                      <w:pPr>
                        <w:pStyle w:val="Body"/>
                        <w:spacing w:line="360" w:lineRule="auto"/>
                        <w:rPr>
                          <w:rFonts w:ascii="Microsoft JhengHei" w:eastAsia="Microsoft JhengHei" w:hAnsi="Microsoft JhengHei" w:cs="Microsoft JhengHei"/>
                          <w:sz w:val="22"/>
                          <w:szCs w:val="22"/>
                          <w:u w:val="single"/>
                          <w:lang w:eastAsia="zh-TW"/>
                        </w:rPr>
                      </w:pPr>
                      <w:hyperlink r:id="rId11" w:history="1">
                        <w:r w:rsidRPr="00B02C0C">
                          <w:rPr>
                            <w:rStyle w:val="Hyperlink1"/>
                            <w:rFonts w:ascii="Helvetica" w:hAnsi="Helvetica"/>
                            <w:sz w:val="22"/>
                            <w:szCs w:val="22"/>
                          </w:rPr>
                          <w:t>dominique@companioncommunications.com</w:t>
                        </w:r>
                      </w:hyperlink>
                      <w:r w:rsidRPr="00B02C0C">
                        <w:rPr>
                          <w:rFonts w:ascii="Helvetica" w:eastAsia="Arial" w:hAnsi="Helvetica" w:cs="Arial"/>
                          <w:color w:val="1155CC"/>
                          <w:sz w:val="22"/>
                          <w:szCs w:val="22"/>
                          <w:u w:color="1155CC"/>
                        </w:rPr>
                        <w:tab/>
                      </w:r>
                      <w:hyperlink r:id="rId12" w:history="1">
                        <w:r w:rsidRPr="00B02C0C">
                          <w:rPr>
                            <w:rStyle w:val="Hyperlink"/>
                            <w:rFonts w:ascii="Helvetica" w:eastAsia="Arial" w:hAnsi="Helvetica" w:cs="Arial"/>
                            <w:color w:val="3333FF"/>
                            <w:sz w:val="22"/>
                            <w:szCs w:val="22"/>
                          </w:rPr>
                          <w:t>chris.edwards@theflexigroup.com</w:t>
                        </w:r>
                      </w:hyperlink>
                    </w:p>
                  </w:txbxContent>
                </v:textbox>
                <w10:anchorlock/>
              </v:rect>
            </w:pict>
          </mc:Fallback>
        </mc:AlternateContent>
      </w:r>
    </w:p>
    <w:p w14:paraId="1207786D" w14:textId="77777777" w:rsidR="007B3BE3" w:rsidRDefault="007B3BE3" w:rsidP="007B3BE3">
      <w:pPr>
        <w:pBdr>
          <w:top w:val="nil"/>
          <w:left w:val="nil"/>
          <w:bottom w:val="nil"/>
          <w:right w:val="nil"/>
          <w:between w:val="nil"/>
        </w:pBdr>
        <w:jc w:val="both"/>
        <w:rPr>
          <w:rFonts w:ascii="MHeiHK-Medium" w:eastAsia="MHeiHK-Medium" w:hAnsi="MHeiHK-Medium" w:cs="Arial"/>
          <w:color w:val="000000"/>
          <w:sz w:val="22"/>
          <w:szCs w:val="22"/>
          <w:lang w:val="en" w:eastAsia="ja-JP"/>
        </w:rPr>
      </w:pPr>
    </w:p>
    <w:p w14:paraId="1AF27C82" w14:textId="12D50AAE" w:rsidR="00266178" w:rsidRPr="008825D5" w:rsidRDefault="00266178" w:rsidP="007B3BE3">
      <w:pPr>
        <w:pBdr>
          <w:top w:val="nil"/>
          <w:left w:val="nil"/>
          <w:bottom w:val="nil"/>
          <w:right w:val="nil"/>
          <w:between w:val="nil"/>
        </w:pBdr>
        <w:jc w:val="both"/>
        <w:rPr>
          <w:rFonts w:ascii="MHeiHK-Medium" w:eastAsia="MHeiHK-Medium" w:hAnsi="MHeiHK-Medium" w:cs="Arial"/>
          <w:color w:val="000000"/>
          <w:sz w:val="22"/>
          <w:szCs w:val="22"/>
          <w:lang w:val="en" w:eastAsia="ja-JP"/>
        </w:rPr>
      </w:pPr>
      <w:r w:rsidRPr="008825D5">
        <w:rPr>
          <w:rFonts w:ascii="MHeiHK-Medium" w:eastAsia="MHeiHK-Medium" w:hAnsi="MHeiHK-Medium" w:cs="Arial"/>
          <w:noProof/>
          <w:color w:val="000000"/>
          <w:sz w:val="22"/>
          <w:szCs w:val="22"/>
          <w:lang w:val="en" w:eastAsia="zh-CN"/>
        </w:rPr>
        <mc:AlternateContent>
          <mc:Choice Requires="wps">
            <w:drawing>
              <wp:inline distT="114300" distB="114300" distL="114300" distR="114300" wp14:anchorId="6DAD47CB" wp14:editId="1FCCA580">
                <wp:extent cx="5943600" cy="994867"/>
                <wp:effectExtent l="0" t="0" r="0" b="0"/>
                <wp:docPr id="1" name="矩形 1"/>
                <wp:cNvGraphicFramePr/>
                <a:graphic xmlns:a="http://schemas.openxmlformats.org/drawingml/2006/main">
                  <a:graphicData uri="http://schemas.microsoft.com/office/word/2010/wordprocessingShape">
                    <wps:wsp>
                      <wps:cNvSpPr/>
                      <wps:spPr>
                        <a:xfrm>
                          <a:off x="0" y="0"/>
                          <a:ext cx="5943600" cy="994867"/>
                        </a:xfrm>
                        <a:prstGeom prst="rect">
                          <a:avLst/>
                        </a:prstGeom>
                        <a:solidFill>
                          <a:srgbClr val="D8D8D8"/>
                        </a:solidFill>
                        <a:ln>
                          <a:noFill/>
                        </a:ln>
                      </wps:spPr>
                      <wps:txbx>
                        <w:txbxContent>
                          <w:p w14:paraId="222BDCAB" w14:textId="0C042FB7" w:rsidR="00266178" w:rsidRPr="002C6626" w:rsidRDefault="00266178" w:rsidP="00046146">
                            <w:pPr>
                              <w:textDirection w:val="btLr"/>
                              <w:rPr>
                                <w:rFonts w:ascii="MHeiHK-Medium" w:eastAsia="MHeiHK-Medium" w:hAnsi="MHeiHK-Medium" w:cs="SimSun"/>
                                <w:b/>
                                <w:color w:val="2C2E50"/>
                                <w:sz w:val="22"/>
                                <w:szCs w:val="22"/>
                              </w:rPr>
                            </w:pPr>
                            <w:r w:rsidRPr="002C6626">
                              <w:rPr>
                                <w:rFonts w:ascii="MHeiHK-Medium" w:eastAsia="MHeiHK-Medium" w:hAnsi="MHeiHK-Medium" w:cs="SimSun" w:hint="eastAsia"/>
                                <w:b/>
                                <w:color w:val="2C2E50"/>
                                <w:sz w:val="22"/>
                                <w:szCs w:val="22"/>
                              </w:rPr>
                              <w:t>曾氏集團</w:t>
                            </w:r>
                          </w:p>
                          <w:p w14:paraId="07BD606B" w14:textId="659FB659" w:rsidR="00266178" w:rsidRPr="00820642" w:rsidRDefault="00933B3B" w:rsidP="00266178">
                            <w:pPr>
                              <w:pStyle w:val="Normal1"/>
                              <w:spacing w:line="240" w:lineRule="auto"/>
                              <w:textDirection w:val="btLr"/>
                              <w:rPr>
                                <w:rFonts w:ascii="Helvetica" w:eastAsia="MHeiHK-Medium" w:hAnsi="Helvetica"/>
                                <w:lang w:eastAsia="zh-TW"/>
                              </w:rPr>
                            </w:pPr>
                            <w:r w:rsidRPr="00820642">
                              <w:rPr>
                                <w:rFonts w:ascii="Helvetica" w:eastAsia="MHeiHK-Medium" w:hAnsi="Helvetica"/>
                                <w:lang w:eastAsia="zh-TW"/>
                              </w:rPr>
                              <w:t>Kevin Lip</w:t>
                            </w:r>
                          </w:p>
                          <w:p w14:paraId="0728A99D" w14:textId="77777777" w:rsidR="00266178" w:rsidRPr="00820642" w:rsidRDefault="00266178" w:rsidP="00266178">
                            <w:pPr>
                              <w:pStyle w:val="Normal1"/>
                              <w:spacing w:line="240" w:lineRule="auto"/>
                              <w:textDirection w:val="btLr"/>
                              <w:rPr>
                                <w:rFonts w:ascii="Helvetica" w:eastAsia="MHeiHK-Medium" w:hAnsi="Helvetica"/>
                                <w:lang w:eastAsia="zh-TW"/>
                              </w:rPr>
                            </w:pPr>
                            <w:r w:rsidRPr="00820642">
                              <w:rPr>
                                <w:rFonts w:ascii="MHeiHK-Medium" w:eastAsia="MHeiHK-Medium" w:hAnsi="MHeiHK-Medium" w:cs="Helvetica Neue" w:hint="eastAsia"/>
                                <w:lang w:eastAsia="zh-TW"/>
                              </w:rPr>
                              <w:t>電話</w:t>
                            </w:r>
                            <w:r w:rsidRPr="00820642">
                              <w:rPr>
                                <w:rFonts w:ascii="Helvetica" w:eastAsia="MHeiHK-Medium" w:hAnsi="Helvetica" w:cs="STXihei"/>
                                <w:lang w:eastAsia="zh-TW"/>
                              </w:rPr>
                              <w:t xml:space="preserve">: +852 </w:t>
                            </w:r>
                            <w:r w:rsidRPr="00820642">
                              <w:rPr>
                                <w:rFonts w:ascii="Helvetica" w:eastAsia="MHeiHK-Medium" w:hAnsi="Helvetica"/>
                                <w:lang w:eastAsia="zh-TW"/>
                              </w:rPr>
                              <w:t>2361 3991</w:t>
                            </w:r>
                          </w:p>
                          <w:p w14:paraId="3DFF9D1D" w14:textId="199EDE33" w:rsidR="00266178" w:rsidRPr="00820642" w:rsidRDefault="00000000" w:rsidP="00266178">
                            <w:pPr>
                              <w:pStyle w:val="Normal1"/>
                              <w:spacing w:line="240" w:lineRule="auto"/>
                              <w:textDirection w:val="btLr"/>
                              <w:rPr>
                                <w:rFonts w:ascii="Helvetica" w:eastAsia="MHeiHK-Medium" w:hAnsi="Helvetica"/>
                                <w:lang w:eastAsia="zh-TW"/>
                              </w:rPr>
                            </w:pPr>
                            <w:hyperlink r:id="rId13" w:history="1">
                              <w:r w:rsidR="007F3C4C" w:rsidRPr="00820642">
                                <w:rPr>
                                  <w:rStyle w:val="Hyperlink"/>
                                  <w:rFonts w:ascii="Helvetica" w:eastAsia="MHeiHK-Medium" w:hAnsi="Helvetica" w:cs="STXihei"/>
                                  <w:lang w:eastAsia="zh-TW"/>
                                </w:rPr>
                                <w:t>kevin.lip@tsangsgroup.co</w:t>
                              </w:r>
                            </w:hyperlink>
                          </w:p>
                        </w:txbxContent>
                      </wps:txbx>
                      <wps:bodyPr spcFirstLastPara="1" wrap="square" lIns="91425" tIns="45700" rIns="91425" bIns="45700" anchor="ctr" anchorCtr="0"/>
                    </wps:wsp>
                  </a:graphicData>
                </a:graphic>
              </wp:inline>
            </w:drawing>
          </mc:Choice>
          <mc:Fallback>
            <w:pict>
              <v:rect w14:anchorId="6DAD47CB" id="矩形 1" o:spid="_x0000_s1027" style="width:468pt;height:7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" fillcolor="#d8d8d8" stroked="f">
                <v:textbox inset="2.53958mm,1.2694mm,2.53958mm,1.2694mm">
                  <w:txbxContent>
                    <w:p w14:paraId="222BDCAB" w14:textId="0C042FB7" w:rsidR="00266178" w:rsidRPr="002C6626" w:rsidRDefault="00266178" w:rsidP="00046146">
                      <w:pPr>
                        <w:textDirection w:val="btLr"/>
                        <w:rPr>
                          <w:rFonts w:ascii="MHeiHK-Medium" w:eastAsia="MHeiHK-Medium" w:hAnsi="MHeiHK-Medium" w:cs="SimSun"/>
                          <w:b/>
                          <w:color w:val="2C2E50"/>
                          <w:sz w:val="22"/>
                          <w:szCs w:val="22"/>
                        </w:rPr>
                      </w:pPr>
                      <w:r w:rsidRPr="002C6626">
                        <w:rPr>
                          <w:rFonts w:ascii="MHeiHK-Medium" w:eastAsia="MHeiHK-Medium" w:hAnsi="MHeiHK-Medium" w:cs="SimSun" w:hint="eastAsia"/>
                          <w:b/>
                          <w:color w:val="2C2E50"/>
                          <w:sz w:val="22"/>
                          <w:szCs w:val="22"/>
                        </w:rPr>
                        <w:t>曾氏集團</w:t>
                      </w:r>
                    </w:p>
                    <w:p w14:paraId="07BD606B" w14:textId="659FB659" w:rsidR="00266178" w:rsidRPr="00820642" w:rsidRDefault="00933B3B" w:rsidP="00266178">
                      <w:pPr>
                        <w:pStyle w:val="Normal1"/>
                        <w:spacing w:line="240" w:lineRule="auto"/>
                        <w:textDirection w:val="btLr"/>
                        <w:rPr>
                          <w:rFonts w:ascii="Helvetica" w:eastAsia="MHeiHK-Medium" w:hAnsi="Helvetica"/>
                          <w:lang w:eastAsia="zh-TW"/>
                        </w:rPr>
                      </w:pPr>
                      <w:r w:rsidRPr="00820642">
                        <w:rPr>
                          <w:rFonts w:ascii="Helvetica" w:eastAsia="MHeiHK-Medium" w:hAnsi="Helvetica"/>
                          <w:lang w:eastAsia="zh-TW"/>
                        </w:rPr>
                        <w:t>Kevin Lip</w:t>
                      </w:r>
                    </w:p>
                    <w:p w14:paraId="0728A99D" w14:textId="77777777" w:rsidR="00266178" w:rsidRPr="00820642" w:rsidRDefault="00266178" w:rsidP="00266178">
                      <w:pPr>
                        <w:pStyle w:val="Normal1"/>
                        <w:spacing w:line="240" w:lineRule="auto"/>
                        <w:textDirection w:val="btLr"/>
                        <w:rPr>
                          <w:rFonts w:ascii="Helvetica" w:eastAsia="MHeiHK-Medium" w:hAnsi="Helvetica"/>
                          <w:lang w:eastAsia="zh-TW"/>
                        </w:rPr>
                      </w:pPr>
                      <w:r w:rsidRPr="00820642">
                        <w:rPr>
                          <w:rFonts w:ascii="MHeiHK-Medium" w:eastAsia="MHeiHK-Medium" w:hAnsi="MHeiHK-Medium" w:cs="Helvetica Neue" w:hint="eastAsia"/>
                          <w:lang w:eastAsia="zh-TW"/>
                        </w:rPr>
                        <w:t>電話</w:t>
                      </w:r>
                      <w:r w:rsidRPr="00820642">
                        <w:rPr>
                          <w:rFonts w:ascii="Helvetica" w:eastAsia="MHeiHK-Medium" w:hAnsi="Helvetica" w:cs="STXihei"/>
                          <w:lang w:eastAsia="zh-TW"/>
                        </w:rPr>
                        <w:t xml:space="preserve">: +852 </w:t>
                      </w:r>
                      <w:r w:rsidRPr="00820642">
                        <w:rPr>
                          <w:rFonts w:ascii="Helvetica" w:eastAsia="MHeiHK-Medium" w:hAnsi="Helvetica"/>
                          <w:lang w:eastAsia="zh-TW"/>
                        </w:rPr>
                        <w:t>2361 3991</w:t>
                      </w:r>
                    </w:p>
                    <w:p w14:paraId="3DFF9D1D" w14:textId="199EDE33" w:rsidR="00266178" w:rsidRPr="00820642" w:rsidRDefault="00000000" w:rsidP="00266178">
                      <w:pPr>
                        <w:pStyle w:val="Normal1"/>
                        <w:spacing w:line="240" w:lineRule="auto"/>
                        <w:textDirection w:val="btLr"/>
                        <w:rPr>
                          <w:rFonts w:ascii="Helvetica" w:eastAsia="MHeiHK-Medium" w:hAnsi="Helvetica"/>
                          <w:lang w:eastAsia="zh-TW"/>
                        </w:rPr>
                      </w:pPr>
                      <w:hyperlink r:id="rId14" w:history="1">
                        <w:r w:rsidR="007F3C4C" w:rsidRPr="00820642">
                          <w:rPr>
                            <w:rStyle w:val="Hyperlink"/>
                            <w:rFonts w:ascii="Helvetica" w:eastAsia="MHeiHK-Medium" w:hAnsi="Helvetica" w:cs="STXihei"/>
                            <w:lang w:eastAsia="zh-TW"/>
                          </w:rPr>
                          <w:t>kevin.lip@tsangsgroup.co</w:t>
                        </w:r>
                      </w:hyperlink>
                    </w:p>
                  </w:txbxContent>
                </v:textbox>
                <w10:anchorlock/>
              </v:rect>
            </w:pict>
          </mc:Fallback>
        </mc:AlternateContent>
      </w:r>
    </w:p>
    <w:p w14:paraId="56B725EA" w14:textId="76A19C53" w:rsidR="00C77684" w:rsidRPr="008825D5" w:rsidRDefault="00C77684" w:rsidP="007B3BE3">
      <w:pPr>
        <w:pStyle w:val="Normal1"/>
        <w:snapToGrid w:val="0"/>
        <w:spacing w:line="240" w:lineRule="auto"/>
        <w:rPr>
          <w:rFonts w:ascii="MHeiHK-Medium" w:eastAsia="MHeiHK-Medium" w:hAnsi="MHeiHK-Medium"/>
          <w:lang w:eastAsia="zh-TW"/>
        </w:rPr>
      </w:pPr>
    </w:p>
    <w:sectPr w:rsidR="00C77684" w:rsidRPr="008825D5" w:rsidSect="007F1A01">
      <w:pgSz w:w="12240" w:h="15840"/>
      <w:pgMar w:top="1164" w:right="1440" w:bottom="92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1B17" w14:textId="77777777" w:rsidR="00B232CD" w:rsidRDefault="00B232CD" w:rsidP="0035442F">
      <w:r>
        <w:separator/>
      </w:r>
    </w:p>
  </w:endnote>
  <w:endnote w:type="continuationSeparator" w:id="0">
    <w:p w14:paraId="16E1615B" w14:textId="77777777" w:rsidR="00B232CD" w:rsidRDefault="00B232CD" w:rsidP="0035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Fang TC">
    <w:altName w:val="Microsoft JhengHei"/>
    <w:charset w:val="88"/>
    <w:family w:val="swiss"/>
    <w:pitch w:val="variable"/>
    <w:sig w:usb0="A00002FF" w:usb1="7ACFFDFB" w:usb2="00000017"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HeiHK-Medium">
    <w:altName w:val="Yu Gothic"/>
    <w:panose1 w:val="00000600000000000000"/>
    <w:charset w:val="80"/>
    <w:family w:val="modern"/>
    <w:notTrueType/>
    <w:pitch w:val="variable"/>
    <w:sig w:usb0="A00002FF" w:usb1="3ACFFD7A" w:usb2="00000016" w:usb3="00000000" w:csb0="00120005" w:csb1="00000000"/>
  </w:font>
  <w:font w:name="Helvetica">
    <w:panose1 w:val="020B0604020202020204"/>
    <w:charset w:val="00"/>
    <w:family w:val="auto"/>
    <w:pitch w:val="variable"/>
    <w:sig w:usb0="E00002FF" w:usb1="5000785B"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E8EB" w14:textId="77777777" w:rsidR="00B232CD" w:rsidRDefault="00B232CD" w:rsidP="0035442F">
      <w:r>
        <w:separator/>
      </w:r>
    </w:p>
  </w:footnote>
  <w:footnote w:type="continuationSeparator" w:id="0">
    <w:p w14:paraId="6FC81C08" w14:textId="77777777" w:rsidR="00B232CD" w:rsidRDefault="00B232CD" w:rsidP="0035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3E7"/>
    <w:multiLevelType w:val="hybridMultilevel"/>
    <w:tmpl w:val="AE545C92"/>
    <w:lvl w:ilvl="0" w:tplc="3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721E"/>
    <w:multiLevelType w:val="hybridMultilevel"/>
    <w:tmpl w:val="4E5A2846"/>
    <w:lvl w:ilvl="0" w:tplc="3C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49752E"/>
    <w:multiLevelType w:val="hybridMultilevel"/>
    <w:tmpl w:val="7C96E222"/>
    <w:lvl w:ilvl="0" w:tplc="3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B042B"/>
    <w:multiLevelType w:val="hybridMultilevel"/>
    <w:tmpl w:val="0518D956"/>
    <w:lvl w:ilvl="0" w:tplc="B68E0BEE">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85331"/>
    <w:multiLevelType w:val="hybridMultilevel"/>
    <w:tmpl w:val="929A99FA"/>
    <w:lvl w:ilvl="0" w:tplc="3C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867260D"/>
    <w:multiLevelType w:val="hybridMultilevel"/>
    <w:tmpl w:val="084CCAF8"/>
    <w:lvl w:ilvl="0" w:tplc="29D06E28">
      <w:start w:val="1"/>
      <w:numFmt w:val="bullet"/>
      <w:lvlText w:val=""/>
      <w:lvlJc w:val="left"/>
      <w:pPr>
        <w:ind w:left="1440" w:hanging="360"/>
      </w:pPr>
      <w:rPr>
        <w:rFonts w:ascii="Symbol" w:hAnsi="Symbo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034113"/>
    <w:multiLevelType w:val="hybridMultilevel"/>
    <w:tmpl w:val="AEA21950"/>
    <w:lvl w:ilvl="0" w:tplc="A1F49084">
      <w:numFmt w:val="bullet"/>
      <w:lvlText w:val="●"/>
      <w:lvlJc w:val="left"/>
      <w:pPr>
        <w:ind w:left="720" w:hanging="360"/>
      </w:pPr>
      <w:rPr>
        <w:rFonts w:ascii="PingFang TC" w:eastAsia="PingFang TC" w:hAnsi="PingFang TC"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52C51"/>
    <w:multiLevelType w:val="hybridMultilevel"/>
    <w:tmpl w:val="C5701636"/>
    <w:lvl w:ilvl="0" w:tplc="3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134B4"/>
    <w:multiLevelType w:val="hybridMultilevel"/>
    <w:tmpl w:val="972AB7A8"/>
    <w:lvl w:ilvl="0" w:tplc="A1F49084">
      <w:numFmt w:val="bullet"/>
      <w:lvlText w:val="●"/>
      <w:lvlJc w:val="left"/>
      <w:pPr>
        <w:ind w:left="720" w:hanging="360"/>
      </w:pPr>
      <w:rPr>
        <w:rFonts w:ascii="PingFang TC" w:eastAsia="PingFang TC" w:hAnsi="PingFang TC"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E4319"/>
    <w:multiLevelType w:val="hybridMultilevel"/>
    <w:tmpl w:val="98989528"/>
    <w:lvl w:ilvl="0" w:tplc="A1F49084">
      <w:numFmt w:val="bullet"/>
      <w:lvlText w:val="●"/>
      <w:lvlJc w:val="left"/>
      <w:pPr>
        <w:ind w:left="1440" w:hanging="360"/>
      </w:pPr>
      <w:rPr>
        <w:rFonts w:ascii="PingFang TC" w:eastAsia="PingFang TC" w:hAnsi="PingFang TC" w:cs="Times New Roman"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3217731">
    <w:abstractNumId w:val="3"/>
  </w:num>
  <w:num w:numId="2" w16cid:durableId="189533492">
    <w:abstractNumId w:val="5"/>
  </w:num>
  <w:num w:numId="3" w16cid:durableId="1230457167">
    <w:abstractNumId w:val="1"/>
  </w:num>
  <w:num w:numId="4" w16cid:durableId="1403213587">
    <w:abstractNumId w:val="0"/>
  </w:num>
  <w:num w:numId="5" w16cid:durableId="1874951957">
    <w:abstractNumId w:val="2"/>
  </w:num>
  <w:num w:numId="6" w16cid:durableId="1765296799">
    <w:abstractNumId w:val="6"/>
  </w:num>
  <w:num w:numId="7" w16cid:durableId="57939934">
    <w:abstractNumId w:val="9"/>
  </w:num>
  <w:num w:numId="8" w16cid:durableId="487090419">
    <w:abstractNumId w:val="4"/>
  </w:num>
  <w:num w:numId="9" w16cid:durableId="1459226377">
    <w:abstractNumId w:val="7"/>
  </w:num>
  <w:num w:numId="10" w16cid:durableId="1845703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F7"/>
    <w:rsid w:val="00003135"/>
    <w:rsid w:val="0001350E"/>
    <w:rsid w:val="00021720"/>
    <w:rsid w:val="00021C58"/>
    <w:rsid w:val="0003302C"/>
    <w:rsid w:val="0003358D"/>
    <w:rsid w:val="00046146"/>
    <w:rsid w:val="00056060"/>
    <w:rsid w:val="0006103B"/>
    <w:rsid w:val="00062F9B"/>
    <w:rsid w:val="00063F12"/>
    <w:rsid w:val="00067B5D"/>
    <w:rsid w:val="00083B66"/>
    <w:rsid w:val="00091C39"/>
    <w:rsid w:val="000929AE"/>
    <w:rsid w:val="00095348"/>
    <w:rsid w:val="00095496"/>
    <w:rsid w:val="000A03AE"/>
    <w:rsid w:val="000A5D5D"/>
    <w:rsid w:val="000B0B6B"/>
    <w:rsid w:val="000B39FC"/>
    <w:rsid w:val="000B75E5"/>
    <w:rsid w:val="000C0266"/>
    <w:rsid w:val="000C3725"/>
    <w:rsid w:val="000E186D"/>
    <w:rsid w:val="000E2C39"/>
    <w:rsid w:val="000E50A3"/>
    <w:rsid w:val="000F6018"/>
    <w:rsid w:val="000F7507"/>
    <w:rsid w:val="0010046C"/>
    <w:rsid w:val="00105A04"/>
    <w:rsid w:val="00114324"/>
    <w:rsid w:val="00115790"/>
    <w:rsid w:val="001229BA"/>
    <w:rsid w:val="0012308D"/>
    <w:rsid w:val="00123614"/>
    <w:rsid w:val="001276AB"/>
    <w:rsid w:val="00132AFD"/>
    <w:rsid w:val="00140657"/>
    <w:rsid w:val="0014742B"/>
    <w:rsid w:val="00150919"/>
    <w:rsid w:val="00153536"/>
    <w:rsid w:val="001615D7"/>
    <w:rsid w:val="001739F5"/>
    <w:rsid w:val="00173D46"/>
    <w:rsid w:val="001830FC"/>
    <w:rsid w:val="00183F47"/>
    <w:rsid w:val="00186FEC"/>
    <w:rsid w:val="001A1ABE"/>
    <w:rsid w:val="001A455A"/>
    <w:rsid w:val="001A5ADF"/>
    <w:rsid w:val="001A5E04"/>
    <w:rsid w:val="001C0B7D"/>
    <w:rsid w:val="001C3BB1"/>
    <w:rsid w:val="001C569D"/>
    <w:rsid w:val="001C58D4"/>
    <w:rsid w:val="001C733A"/>
    <w:rsid w:val="001D0CB4"/>
    <w:rsid w:val="001E31FC"/>
    <w:rsid w:val="001F238F"/>
    <w:rsid w:val="001F272F"/>
    <w:rsid w:val="001F6759"/>
    <w:rsid w:val="00204C19"/>
    <w:rsid w:val="00210DA1"/>
    <w:rsid w:val="00210F93"/>
    <w:rsid w:val="00224D31"/>
    <w:rsid w:val="00230651"/>
    <w:rsid w:val="00232527"/>
    <w:rsid w:val="00232D31"/>
    <w:rsid w:val="00233E11"/>
    <w:rsid w:val="00262911"/>
    <w:rsid w:val="002634AB"/>
    <w:rsid w:val="00263799"/>
    <w:rsid w:val="002655AE"/>
    <w:rsid w:val="00266178"/>
    <w:rsid w:val="0026639E"/>
    <w:rsid w:val="002737C8"/>
    <w:rsid w:val="00276D82"/>
    <w:rsid w:val="00280B2A"/>
    <w:rsid w:val="00284123"/>
    <w:rsid w:val="0029083A"/>
    <w:rsid w:val="00290C03"/>
    <w:rsid w:val="002914EF"/>
    <w:rsid w:val="002928B9"/>
    <w:rsid w:val="002A608C"/>
    <w:rsid w:val="002B0B6E"/>
    <w:rsid w:val="002B0C2F"/>
    <w:rsid w:val="002B5B88"/>
    <w:rsid w:val="002B66FD"/>
    <w:rsid w:val="002B77E8"/>
    <w:rsid w:val="002C6057"/>
    <w:rsid w:val="002C6626"/>
    <w:rsid w:val="002D18EE"/>
    <w:rsid w:val="002D3A9D"/>
    <w:rsid w:val="002E22D4"/>
    <w:rsid w:val="002F0E9F"/>
    <w:rsid w:val="002F15F0"/>
    <w:rsid w:val="002F2D26"/>
    <w:rsid w:val="002F3C3D"/>
    <w:rsid w:val="002F56E1"/>
    <w:rsid w:val="0030174E"/>
    <w:rsid w:val="00301AC1"/>
    <w:rsid w:val="003039B0"/>
    <w:rsid w:val="00306CF4"/>
    <w:rsid w:val="00310BF3"/>
    <w:rsid w:val="003144DE"/>
    <w:rsid w:val="00327098"/>
    <w:rsid w:val="00327EF2"/>
    <w:rsid w:val="00335B78"/>
    <w:rsid w:val="00335C3A"/>
    <w:rsid w:val="00340329"/>
    <w:rsid w:val="0034156B"/>
    <w:rsid w:val="00341E48"/>
    <w:rsid w:val="00344933"/>
    <w:rsid w:val="00346370"/>
    <w:rsid w:val="00350BAF"/>
    <w:rsid w:val="0035442F"/>
    <w:rsid w:val="003615AA"/>
    <w:rsid w:val="00370C55"/>
    <w:rsid w:val="00371717"/>
    <w:rsid w:val="00372511"/>
    <w:rsid w:val="003733F9"/>
    <w:rsid w:val="00374038"/>
    <w:rsid w:val="00383330"/>
    <w:rsid w:val="003842E2"/>
    <w:rsid w:val="00394B86"/>
    <w:rsid w:val="003954EF"/>
    <w:rsid w:val="003B636E"/>
    <w:rsid w:val="003C1035"/>
    <w:rsid w:val="003D01AD"/>
    <w:rsid w:val="003D2481"/>
    <w:rsid w:val="003E3079"/>
    <w:rsid w:val="003F0C26"/>
    <w:rsid w:val="003F691D"/>
    <w:rsid w:val="00401DFB"/>
    <w:rsid w:val="004051E6"/>
    <w:rsid w:val="00405759"/>
    <w:rsid w:val="0041031C"/>
    <w:rsid w:val="00414410"/>
    <w:rsid w:val="00427623"/>
    <w:rsid w:val="004326B1"/>
    <w:rsid w:val="004330AE"/>
    <w:rsid w:val="00433417"/>
    <w:rsid w:val="00433E3A"/>
    <w:rsid w:val="00434483"/>
    <w:rsid w:val="00435D50"/>
    <w:rsid w:val="00437BED"/>
    <w:rsid w:val="00444F31"/>
    <w:rsid w:val="00456BD4"/>
    <w:rsid w:val="0046006D"/>
    <w:rsid w:val="004629AA"/>
    <w:rsid w:val="00472462"/>
    <w:rsid w:val="004727E4"/>
    <w:rsid w:val="00485E76"/>
    <w:rsid w:val="00486350"/>
    <w:rsid w:val="004867A9"/>
    <w:rsid w:val="00487957"/>
    <w:rsid w:val="004A45E9"/>
    <w:rsid w:val="004A4FCD"/>
    <w:rsid w:val="004B1308"/>
    <w:rsid w:val="004B3B71"/>
    <w:rsid w:val="004C30DC"/>
    <w:rsid w:val="004C4F34"/>
    <w:rsid w:val="004D3AB6"/>
    <w:rsid w:val="004E0FBB"/>
    <w:rsid w:val="004E3D67"/>
    <w:rsid w:val="004F0300"/>
    <w:rsid w:val="004F1BD9"/>
    <w:rsid w:val="004F718A"/>
    <w:rsid w:val="0050077C"/>
    <w:rsid w:val="00504996"/>
    <w:rsid w:val="00513EC5"/>
    <w:rsid w:val="005150F3"/>
    <w:rsid w:val="00532520"/>
    <w:rsid w:val="00551EA9"/>
    <w:rsid w:val="0055327B"/>
    <w:rsid w:val="005555EA"/>
    <w:rsid w:val="005574F2"/>
    <w:rsid w:val="00561309"/>
    <w:rsid w:val="0056199D"/>
    <w:rsid w:val="00566004"/>
    <w:rsid w:val="00570F3F"/>
    <w:rsid w:val="005759B8"/>
    <w:rsid w:val="00592179"/>
    <w:rsid w:val="00592804"/>
    <w:rsid w:val="005A0762"/>
    <w:rsid w:val="005A5C84"/>
    <w:rsid w:val="005A7395"/>
    <w:rsid w:val="005B2A24"/>
    <w:rsid w:val="005C2FFE"/>
    <w:rsid w:val="005C45E9"/>
    <w:rsid w:val="005D01A6"/>
    <w:rsid w:val="005D0213"/>
    <w:rsid w:val="005D3A7D"/>
    <w:rsid w:val="005E0E16"/>
    <w:rsid w:val="005E4876"/>
    <w:rsid w:val="00601E8D"/>
    <w:rsid w:val="0060384C"/>
    <w:rsid w:val="006174DF"/>
    <w:rsid w:val="006229F5"/>
    <w:rsid w:val="00631549"/>
    <w:rsid w:val="00634E37"/>
    <w:rsid w:val="00640644"/>
    <w:rsid w:val="00644589"/>
    <w:rsid w:val="00650C79"/>
    <w:rsid w:val="00656617"/>
    <w:rsid w:val="00662619"/>
    <w:rsid w:val="00666BC9"/>
    <w:rsid w:val="00675F9F"/>
    <w:rsid w:val="00677B36"/>
    <w:rsid w:val="00685C13"/>
    <w:rsid w:val="00691595"/>
    <w:rsid w:val="006A05F7"/>
    <w:rsid w:val="006A29DB"/>
    <w:rsid w:val="006B2608"/>
    <w:rsid w:val="006C36A2"/>
    <w:rsid w:val="006C3838"/>
    <w:rsid w:val="006C4BB7"/>
    <w:rsid w:val="006D0822"/>
    <w:rsid w:val="006D419F"/>
    <w:rsid w:val="006D6F88"/>
    <w:rsid w:val="006E285C"/>
    <w:rsid w:val="006F2397"/>
    <w:rsid w:val="00703984"/>
    <w:rsid w:val="0071073D"/>
    <w:rsid w:val="007131B2"/>
    <w:rsid w:val="00713706"/>
    <w:rsid w:val="007169D1"/>
    <w:rsid w:val="00721F11"/>
    <w:rsid w:val="00724235"/>
    <w:rsid w:val="00730423"/>
    <w:rsid w:val="007325F7"/>
    <w:rsid w:val="00733667"/>
    <w:rsid w:val="0073512F"/>
    <w:rsid w:val="00740650"/>
    <w:rsid w:val="00743300"/>
    <w:rsid w:val="007466BA"/>
    <w:rsid w:val="007478BD"/>
    <w:rsid w:val="00755A62"/>
    <w:rsid w:val="00760063"/>
    <w:rsid w:val="007622D4"/>
    <w:rsid w:val="00764560"/>
    <w:rsid w:val="00765870"/>
    <w:rsid w:val="00777717"/>
    <w:rsid w:val="00787C14"/>
    <w:rsid w:val="007928EA"/>
    <w:rsid w:val="007A54DF"/>
    <w:rsid w:val="007B0477"/>
    <w:rsid w:val="007B1E75"/>
    <w:rsid w:val="007B3BE3"/>
    <w:rsid w:val="007B491A"/>
    <w:rsid w:val="007B602D"/>
    <w:rsid w:val="007B6039"/>
    <w:rsid w:val="007C0E8F"/>
    <w:rsid w:val="007C23CA"/>
    <w:rsid w:val="007C580B"/>
    <w:rsid w:val="007C6420"/>
    <w:rsid w:val="007D11BA"/>
    <w:rsid w:val="007D163F"/>
    <w:rsid w:val="007D2958"/>
    <w:rsid w:val="007D3086"/>
    <w:rsid w:val="007D31C5"/>
    <w:rsid w:val="007D61F0"/>
    <w:rsid w:val="007E430F"/>
    <w:rsid w:val="007E7B7F"/>
    <w:rsid w:val="007F1A01"/>
    <w:rsid w:val="007F3C4C"/>
    <w:rsid w:val="007F6B91"/>
    <w:rsid w:val="008006DA"/>
    <w:rsid w:val="0080200B"/>
    <w:rsid w:val="0080381D"/>
    <w:rsid w:val="008042AA"/>
    <w:rsid w:val="00820642"/>
    <w:rsid w:val="008208CC"/>
    <w:rsid w:val="008214F5"/>
    <w:rsid w:val="008239E2"/>
    <w:rsid w:val="0082569E"/>
    <w:rsid w:val="0083315B"/>
    <w:rsid w:val="00843147"/>
    <w:rsid w:val="008477D1"/>
    <w:rsid w:val="008516FC"/>
    <w:rsid w:val="0085292A"/>
    <w:rsid w:val="00854555"/>
    <w:rsid w:val="0086309E"/>
    <w:rsid w:val="00863E7E"/>
    <w:rsid w:val="00866494"/>
    <w:rsid w:val="008714CD"/>
    <w:rsid w:val="00882379"/>
    <w:rsid w:val="008825D5"/>
    <w:rsid w:val="008832DF"/>
    <w:rsid w:val="008864F9"/>
    <w:rsid w:val="008873DB"/>
    <w:rsid w:val="0089438C"/>
    <w:rsid w:val="008A35C9"/>
    <w:rsid w:val="008B2970"/>
    <w:rsid w:val="008B3F4A"/>
    <w:rsid w:val="008C1421"/>
    <w:rsid w:val="008C3739"/>
    <w:rsid w:val="008C47FE"/>
    <w:rsid w:val="008D6797"/>
    <w:rsid w:val="008E5EEC"/>
    <w:rsid w:val="008F1B0E"/>
    <w:rsid w:val="008F683A"/>
    <w:rsid w:val="0090097A"/>
    <w:rsid w:val="0090240D"/>
    <w:rsid w:val="00902FF9"/>
    <w:rsid w:val="00914239"/>
    <w:rsid w:val="00916520"/>
    <w:rsid w:val="00923AC2"/>
    <w:rsid w:val="009263BE"/>
    <w:rsid w:val="00933B3B"/>
    <w:rsid w:val="00935D26"/>
    <w:rsid w:val="00940A97"/>
    <w:rsid w:val="0094153E"/>
    <w:rsid w:val="00942BFF"/>
    <w:rsid w:val="00947C98"/>
    <w:rsid w:val="00951A91"/>
    <w:rsid w:val="0095792B"/>
    <w:rsid w:val="00957B94"/>
    <w:rsid w:val="00960662"/>
    <w:rsid w:val="009614B3"/>
    <w:rsid w:val="00962A95"/>
    <w:rsid w:val="009656D2"/>
    <w:rsid w:val="00973E05"/>
    <w:rsid w:val="00974141"/>
    <w:rsid w:val="00980EDC"/>
    <w:rsid w:val="00990B1C"/>
    <w:rsid w:val="00990E90"/>
    <w:rsid w:val="00994CF8"/>
    <w:rsid w:val="00994F9B"/>
    <w:rsid w:val="009B0805"/>
    <w:rsid w:val="009B1145"/>
    <w:rsid w:val="009B27BC"/>
    <w:rsid w:val="009B6628"/>
    <w:rsid w:val="009C1A9C"/>
    <w:rsid w:val="009C48EB"/>
    <w:rsid w:val="009C5919"/>
    <w:rsid w:val="009E67D9"/>
    <w:rsid w:val="009E7E04"/>
    <w:rsid w:val="009E7EB8"/>
    <w:rsid w:val="009F02A2"/>
    <w:rsid w:val="009F20E1"/>
    <w:rsid w:val="00A0074D"/>
    <w:rsid w:val="00A01DFB"/>
    <w:rsid w:val="00A053E5"/>
    <w:rsid w:val="00A07B63"/>
    <w:rsid w:val="00A103C8"/>
    <w:rsid w:val="00A128A1"/>
    <w:rsid w:val="00A147E0"/>
    <w:rsid w:val="00A16ECE"/>
    <w:rsid w:val="00A2039E"/>
    <w:rsid w:val="00A229D7"/>
    <w:rsid w:val="00A25CAA"/>
    <w:rsid w:val="00A34357"/>
    <w:rsid w:val="00A528C7"/>
    <w:rsid w:val="00A61713"/>
    <w:rsid w:val="00A61801"/>
    <w:rsid w:val="00A659C4"/>
    <w:rsid w:val="00A66974"/>
    <w:rsid w:val="00A84E0B"/>
    <w:rsid w:val="00A971D0"/>
    <w:rsid w:val="00AA1714"/>
    <w:rsid w:val="00AA3FE8"/>
    <w:rsid w:val="00AB7410"/>
    <w:rsid w:val="00AB7945"/>
    <w:rsid w:val="00AC0091"/>
    <w:rsid w:val="00AC248E"/>
    <w:rsid w:val="00AD58AE"/>
    <w:rsid w:val="00AD65C0"/>
    <w:rsid w:val="00AE4023"/>
    <w:rsid w:val="00AE7524"/>
    <w:rsid w:val="00AE7CE3"/>
    <w:rsid w:val="00AF1254"/>
    <w:rsid w:val="00AF173F"/>
    <w:rsid w:val="00AF3CC3"/>
    <w:rsid w:val="00AF4C17"/>
    <w:rsid w:val="00AF68C4"/>
    <w:rsid w:val="00B14BB0"/>
    <w:rsid w:val="00B16696"/>
    <w:rsid w:val="00B21550"/>
    <w:rsid w:val="00B220BE"/>
    <w:rsid w:val="00B232CD"/>
    <w:rsid w:val="00B24CE3"/>
    <w:rsid w:val="00B26FB4"/>
    <w:rsid w:val="00B3056E"/>
    <w:rsid w:val="00B329CA"/>
    <w:rsid w:val="00B35F3A"/>
    <w:rsid w:val="00B36E75"/>
    <w:rsid w:val="00B4049B"/>
    <w:rsid w:val="00B5160F"/>
    <w:rsid w:val="00B57DBE"/>
    <w:rsid w:val="00B669BC"/>
    <w:rsid w:val="00B72434"/>
    <w:rsid w:val="00B81E25"/>
    <w:rsid w:val="00B83669"/>
    <w:rsid w:val="00B878FE"/>
    <w:rsid w:val="00B9171C"/>
    <w:rsid w:val="00B93D1F"/>
    <w:rsid w:val="00B95392"/>
    <w:rsid w:val="00BA78F1"/>
    <w:rsid w:val="00BB222A"/>
    <w:rsid w:val="00BB5549"/>
    <w:rsid w:val="00BB57A4"/>
    <w:rsid w:val="00BC0782"/>
    <w:rsid w:val="00BC32EB"/>
    <w:rsid w:val="00BC5F83"/>
    <w:rsid w:val="00BD18E2"/>
    <w:rsid w:val="00BD331A"/>
    <w:rsid w:val="00BD3EF1"/>
    <w:rsid w:val="00BD4DD3"/>
    <w:rsid w:val="00BE4B83"/>
    <w:rsid w:val="00BE5C14"/>
    <w:rsid w:val="00BE5E92"/>
    <w:rsid w:val="00BE5EC9"/>
    <w:rsid w:val="00BF55B0"/>
    <w:rsid w:val="00C02646"/>
    <w:rsid w:val="00C108D9"/>
    <w:rsid w:val="00C1106E"/>
    <w:rsid w:val="00C1438F"/>
    <w:rsid w:val="00C17406"/>
    <w:rsid w:val="00C30126"/>
    <w:rsid w:val="00C31DC2"/>
    <w:rsid w:val="00C36AE9"/>
    <w:rsid w:val="00C42C9D"/>
    <w:rsid w:val="00C51AC6"/>
    <w:rsid w:val="00C52C99"/>
    <w:rsid w:val="00C5386D"/>
    <w:rsid w:val="00C539E4"/>
    <w:rsid w:val="00C54FDC"/>
    <w:rsid w:val="00C55CA0"/>
    <w:rsid w:val="00C6105F"/>
    <w:rsid w:val="00C639BE"/>
    <w:rsid w:val="00C643E9"/>
    <w:rsid w:val="00C65A23"/>
    <w:rsid w:val="00C77684"/>
    <w:rsid w:val="00C955EE"/>
    <w:rsid w:val="00CA3686"/>
    <w:rsid w:val="00CA5F8E"/>
    <w:rsid w:val="00CB053F"/>
    <w:rsid w:val="00CB0C6E"/>
    <w:rsid w:val="00CB2F73"/>
    <w:rsid w:val="00CB4A26"/>
    <w:rsid w:val="00CC0E9D"/>
    <w:rsid w:val="00CC31D4"/>
    <w:rsid w:val="00CD53FA"/>
    <w:rsid w:val="00CD68DB"/>
    <w:rsid w:val="00CF0EBE"/>
    <w:rsid w:val="00CF1500"/>
    <w:rsid w:val="00CF2D9B"/>
    <w:rsid w:val="00D02460"/>
    <w:rsid w:val="00D04CA8"/>
    <w:rsid w:val="00D06318"/>
    <w:rsid w:val="00D144AA"/>
    <w:rsid w:val="00D1579C"/>
    <w:rsid w:val="00D15B9A"/>
    <w:rsid w:val="00D21CDF"/>
    <w:rsid w:val="00D23784"/>
    <w:rsid w:val="00D3541A"/>
    <w:rsid w:val="00D35EB3"/>
    <w:rsid w:val="00D4717B"/>
    <w:rsid w:val="00D51408"/>
    <w:rsid w:val="00D54AA4"/>
    <w:rsid w:val="00D54EE1"/>
    <w:rsid w:val="00D5547B"/>
    <w:rsid w:val="00D6624A"/>
    <w:rsid w:val="00D66A30"/>
    <w:rsid w:val="00D762E8"/>
    <w:rsid w:val="00D84D1D"/>
    <w:rsid w:val="00D874B9"/>
    <w:rsid w:val="00D92140"/>
    <w:rsid w:val="00D96097"/>
    <w:rsid w:val="00DA01DD"/>
    <w:rsid w:val="00DA3228"/>
    <w:rsid w:val="00DA3379"/>
    <w:rsid w:val="00DA6568"/>
    <w:rsid w:val="00DB43B9"/>
    <w:rsid w:val="00DC5B14"/>
    <w:rsid w:val="00DC63C1"/>
    <w:rsid w:val="00DC77C2"/>
    <w:rsid w:val="00DD0340"/>
    <w:rsid w:val="00DD1BC8"/>
    <w:rsid w:val="00DD6A36"/>
    <w:rsid w:val="00DE251F"/>
    <w:rsid w:val="00DE2ABB"/>
    <w:rsid w:val="00DE4F8A"/>
    <w:rsid w:val="00DE6AC3"/>
    <w:rsid w:val="00DF1541"/>
    <w:rsid w:val="00DF3F2E"/>
    <w:rsid w:val="00DF5200"/>
    <w:rsid w:val="00E03DD8"/>
    <w:rsid w:val="00E05679"/>
    <w:rsid w:val="00E166FB"/>
    <w:rsid w:val="00E27993"/>
    <w:rsid w:val="00E3397A"/>
    <w:rsid w:val="00E35DDF"/>
    <w:rsid w:val="00E41F91"/>
    <w:rsid w:val="00E42FBD"/>
    <w:rsid w:val="00E51FD5"/>
    <w:rsid w:val="00E54DAF"/>
    <w:rsid w:val="00E562C0"/>
    <w:rsid w:val="00E579BD"/>
    <w:rsid w:val="00E57FF7"/>
    <w:rsid w:val="00E63F75"/>
    <w:rsid w:val="00E6687F"/>
    <w:rsid w:val="00E757FB"/>
    <w:rsid w:val="00E80839"/>
    <w:rsid w:val="00E8309F"/>
    <w:rsid w:val="00E83DB3"/>
    <w:rsid w:val="00E849C5"/>
    <w:rsid w:val="00E85C74"/>
    <w:rsid w:val="00E87B1F"/>
    <w:rsid w:val="00E9410D"/>
    <w:rsid w:val="00EA36BE"/>
    <w:rsid w:val="00EA3BBE"/>
    <w:rsid w:val="00EA76B6"/>
    <w:rsid w:val="00EB1E72"/>
    <w:rsid w:val="00EB34CA"/>
    <w:rsid w:val="00EB70AD"/>
    <w:rsid w:val="00EC19DF"/>
    <w:rsid w:val="00ED3ABE"/>
    <w:rsid w:val="00ED4C13"/>
    <w:rsid w:val="00EE2CF1"/>
    <w:rsid w:val="00EE607E"/>
    <w:rsid w:val="00EF6704"/>
    <w:rsid w:val="00EF6949"/>
    <w:rsid w:val="00F064C0"/>
    <w:rsid w:val="00F114E7"/>
    <w:rsid w:val="00F13140"/>
    <w:rsid w:val="00F14DCB"/>
    <w:rsid w:val="00F15FFB"/>
    <w:rsid w:val="00F27A25"/>
    <w:rsid w:val="00F33179"/>
    <w:rsid w:val="00F338A9"/>
    <w:rsid w:val="00F352DE"/>
    <w:rsid w:val="00F37778"/>
    <w:rsid w:val="00F43317"/>
    <w:rsid w:val="00F503FF"/>
    <w:rsid w:val="00F5098F"/>
    <w:rsid w:val="00F579D7"/>
    <w:rsid w:val="00F655C9"/>
    <w:rsid w:val="00F72C96"/>
    <w:rsid w:val="00F772F4"/>
    <w:rsid w:val="00F83E4F"/>
    <w:rsid w:val="00F86A35"/>
    <w:rsid w:val="00F87F40"/>
    <w:rsid w:val="00F95B81"/>
    <w:rsid w:val="00FA1617"/>
    <w:rsid w:val="00FA3116"/>
    <w:rsid w:val="00FA5C51"/>
    <w:rsid w:val="00FA622B"/>
    <w:rsid w:val="00FB5B2A"/>
    <w:rsid w:val="00FB6EF5"/>
    <w:rsid w:val="00FB783F"/>
    <w:rsid w:val="00FC3A2C"/>
    <w:rsid w:val="00FC3BC2"/>
    <w:rsid w:val="00FC3E88"/>
    <w:rsid w:val="00FD43F3"/>
    <w:rsid w:val="00FD5363"/>
    <w:rsid w:val="00FD67A6"/>
    <w:rsid w:val="00FD7AD7"/>
    <w:rsid w:val="00FE2DE5"/>
    <w:rsid w:val="00FE7CD9"/>
    <w:rsid w:val="00FF2982"/>
    <w:rsid w:val="00FF43A4"/>
    <w:rsid w:val="00FF552F"/>
    <w:rsid w:val="00FF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DDA5B4B"/>
  <w15:docId w15:val="{F78094B9-F4FF-457A-83FB-F37AEBCB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widowControl w:val="0"/>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AFD"/>
    <w:pPr>
      <w:widowControl/>
      <w:spacing w:line="240" w:lineRule="auto"/>
      <w:jc w:val="left"/>
    </w:pPr>
    <w:rPr>
      <w:rFonts w:ascii="Times New Roman" w:eastAsia="Times New Roman" w:hAnsi="Times New Roman" w:cs="Times New Roman"/>
      <w:sz w:val="24"/>
      <w:szCs w:val="24"/>
      <w:lang w:eastAsia="zh-TW"/>
    </w:rPr>
  </w:style>
  <w:style w:type="paragraph" w:styleId="Heading1">
    <w:name w:val="heading 1"/>
    <w:basedOn w:val="Normal1"/>
    <w:next w:val="Normal1"/>
    <w:pPr>
      <w:keepNext/>
      <w:keepLines/>
      <w:widowControl/>
      <w:spacing w:before="400" w:after="120"/>
      <w:jc w:val="left"/>
      <w:outlineLvl w:val="0"/>
    </w:pPr>
    <w:rPr>
      <w:sz w:val="40"/>
      <w:szCs w:val="40"/>
    </w:rPr>
  </w:style>
  <w:style w:type="paragraph" w:styleId="Heading2">
    <w:name w:val="heading 2"/>
    <w:basedOn w:val="Normal1"/>
    <w:next w:val="Normal1"/>
    <w:pPr>
      <w:keepNext/>
      <w:keepLines/>
      <w:widowControl/>
      <w:spacing w:before="360" w:after="120"/>
      <w:jc w:val="left"/>
      <w:outlineLvl w:val="1"/>
    </w:pPr>
    <w:rPr>
      <w:sz w:val="32"/>
      <w:szCs w:val="32"/>
    </w:rPr>
  </w:style>
  <w:style w:type="paragraph" w:styleId="Heading3">
    <w:name w:val="heading 3"/>
    <w:basedOn w:val="Normal1"/>
    <w:next w:val="Normal1"/>
    <w:pPr>
      <w:keepNext/>
      <w:keepLines/>
      <w:widowControl/>
      <w:spacing w:before="320" w:after="80"/>
      <w:jc w:val="left"/>
      <w:outlineLvl w:val="2"/>
    </w:pPr>
    <w:rPr>
      <w:color w:val="434343"/>
      <w:sz w:val="28"/>
      <w:szCs w:val="28"/>
    </w:rPr>
  </w:style>
  <w:style w:type="paragraph" w:styleId="Heading4">
    <w:name w:val="heading 4"/>
    <w:basedOn w:val="Normal1"/>
    <w:next w:val="Normal1"/>
    <w:pPr>
      <w:keepNext/>
      <w:keepLines/>
      <w:widowControl/>
      <w:spacing w:before="280" w:after="80"/>
      <w:jc w:val="left"/>
      <w:outlineLvl w:val="3"/>
    </w:pPr>
    <w:rPr>
      <w:color w:val="666666"/>
      <w:sz w:val="24"/>
      <w:szCs w:val="24"/>
    </w:rPr>
  </w:style>
  <w:style w:type="paragraph" w:styleId="Heading5">
    <w:name w:val="heading 5"/>
    <w:basedOn w:val="Normal1"/>
    <w:next w:val="Normal1"/>
    <w:pPr>
      <w:keepNext/>
      <w:keepLines/>
      <w:widowControl/>
      <w:spacing w:before="240" w:after="80"/>
      <w:jc w:val="left"/>
      <w:outlineLvl w:val="4"/>
    </w:pPr>
    <w:rPr>
      <w:color w:val="666666"/>
    </w:rPr>
  </w:style>
  <w:style w:type="paragraph" w:styleId="Heading6">
    <w:name w:val="heading 6"/>
    <w:basedOn w:val="Normal1"/>
    <w:next w:val="Normal1"/>
    <w:pPr>
      <w:keepNext/>
      <w:keepLines/>
      <w:widowControl/>
      <w:spacing w:before="240" w:after="80"/>
      <w:jc w:val="left"/>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widowControl/>
      <w:spacing w:after="60"/>
      <w:jc w:val="left"/>
    </w:pPr>
    <w:rPr>
      <w:sz w:val="52"/>
      <w:szCs w:val="52"/>
    </w:rPr>
  </w:style>
  <w:style w:type="paragraph" w:styleId="Subtitle">
    <w:name w:val="Subtitle"/>
    <w:basedOn w:val="Normal1"/>
    <w:next w:val="Normal1"/>
    <w:pPr>
      <w:keepNext/>
      <w:keepLines/>
      <w:widowControl/>
      <w:spacing w:after="320"/>
      <w:jc w:val="left"/>
    </w:pPr>
    <w:rPr>
      <w:color w:val="666666"/>
      <w:sz w:val="30"/>
      <w:szCs w:val="30"/>
    </w:rPr>
  </w:style>
  <w:style w:type="paragraph" w:styleId="BalloonText">
    <w:name w:val="Balloon Text"/>
    <w:basedOn w:val="Normal"/>
    <w:link w:val="BalloonTextChar"/>
    <w:uiPriority w:val="99"/>
    <w:semiHidden/>
    <w:unhideWhenUsed/>
    <w:rsid w:val="00E51FD5"/>
    <w:pPr>
      <w:widowControl w:val="0"/>
      <w:jc w:val="both"/>
    </w:pPr>
    <w:rPr>
      <w:rFonts w:ascii="ヒラギノ角ゴ ProN W3" w:eastAsia="ヒラギノ角ゴ ProN W3" w:hAnsi="Arial" w:cs="Arial"/>
      <w:sz w:val="18"/>
      <w:szCs w:val="18"/>
      <w:lang w:eastAsia="ja-JP"/>
    </w:rPr>
  </w:style>
  <w:style w:type="character" w:customStyle="1" w:styleId="BalloonTextChar">
    <w:name w:val="Balloon Text Char"/>
    <w:basedOn w:val="DefaultParagraphFont"/>
    <w:link w:val="BalloonText"/>
    <w:uiPriority w:val="99"/>
    <w:semiHidden/>
    <w:rsid w:val="00E51FD5"/>
    <w:rPr>
      <w:rFonts w:ascii="ヒラギノ角ゴ ProN W3" w:eastAsia="ヒラギノ角ゴ ProN W3"/>
      <w:sz w:val="18"/>
      <w:szCs w:val="18"/>
    </w:rPr>
  </w:style>
  <w:style w:type="paragraph" w:styleId="NormalWeb">
    <w:name w:val="Normal (Web)"/>
    <w:basedOn w:val="Normal"/>
    <w:uiPriority w:val="99"/>
    <w:unhideWhenUsed/>
    <w:rsid w:val="001C3BB1"/>
    <w:pPr>
      <w:spacing w:before="100" w:beforeAutospacing="1" w:after="100" w:afterAutospacing="1"/>
    </w:pPr>
    <w:rPr>
      <w:rFonts w:ascii="MS Mincho" w:eastAsia="MS Mincho" w:hAnsi="MS Mincho"/>
      <w:sz w:val="20"/>
      <w:szCs w:val="20"/>
      <w:lang w:eastAsia="ja-JP"/>
    </w:rPr>
  </w:style>
  <w:style w:type="character" w:styleId="Hyperlink">
    <w:name w:val="Hyperlink"/>
    <w:basedOn w:val="DefaultParagraphFont"/>
    <w:uiPriority w:val="99"/>
    <w:unhideWhenUsed/>
    <w:rsid w:val="001C3BB1"/>
    <w:rPr>
      <w:color w:val="0000FF" w:themeColor="hyperlink"/>
      <w:u w:val="single"/>
    </w:rPr>
  </w:style>
  <w:style w:type="character" w:styleId="FollowedHyperlink">
    <w:name w:val="FollowedHyperlink"/>
    <w:basedOn w:val="DefaultParagraphFont"/>
    <w:uiPriority w:val="99"/>
    <w:semiHidden/>
    <w:unhideWhenUsed/>
    <w:rsid w:val="001C3BB1"/>
    <w:rPr>
      <w:color w:val="800080" w:themeColor="followedHyperlink"/>
      <w:u w:val="single"/>
    </w:rPr>
  </w:style>
  <w:style w:type="paragraph" w:styleId="Header">
    <w:name w:val="header"/>
    <w:basedOn w:val="Normal"/>
    <w:link w:val="HeaderChar"/>
    <w:uiPriority w:val="99"/>
    <w:unhideWhenUsed/>
    <w:rsid w:val="0035442F"/>
    <w:pPr>
      <w:widowControl w:val="0"/>
      <w:tabs>
        <w:tab w:val="center" w:pos="4680"/>
        <w:tab w:val="right" w:pos="9360"/>
      </w:tabs>
      <w:jc w:val="both"/>
    </w:pPr>
    <w:rPr>
      <w:rFonts w:ascii="Arial" w:eastAsiaTheme="minorEastAsia" w:hAnsi="Arial" w:cs="Arial"/>
      <w:sz w:val="22"/>
      <w:szCs w:val="22"/>
      <w:lang w:eastAsia="ja-JP"/>
    </w:rPr>
  </w:style>
  <w:style w:type="character" w:customStyle="1" w:styleId="HeaderChar">
    <w:name w:val="Header Char"/>
    <w:basedOn w:val="DefaultParagraphFont"/>
    <w:link w:val="Header"/>
    <w:uiPriority w:val="99"/>
    <w:rsid w:val="0035442F"/>
  </w:style>
  <w:style w:type="paragraph" w:styleId="Footer">
    <w:name w:val="footer"/>
    <w:basedOn w:val="Normal"/>
    <w:link w:val="FooterChar"/>
    <w:uiPriority w:val="99"/>
    <w:unhideWhenUsed/>
    <w:rsid w:val="0035442F"/>
    <w:pPr>
      <w:widowControl w:val="0"/>
      <w:tabs>
        <w:tab w:val="center" w:pos="4680"/>
        <w:tab w:val="right" w:pos="9360"/>
      </w:tabs>
      <w:jc w:val="both"/>
    </w:pPr>
    <w:rPr>
      <w:rFonts w:ascii="Arial" w:eastAsiaTheme="minorEastAsia" w:hAnsi="Arial" w:cs="Arial"/>
      <w:sz w:val="22"/>
      <w:szCs w:val="22"/>
      <w:lang w:eastAsia="ja-JP"/>
    </w:rPr>
  </w:style>
  <w:style w:type="character" w:customStyle="1" w:styleId="FooterChar">
    <w:name w:val="Footer Char"/>
    <w:basedOn w:val="DefaultParagraphFont"/>
    <w:link w:val="Footer"/>
    <w:uiPriority w:val="99"/>
    <w:rsid w:val="0035442F"/>
  </w:style>
  <w:style w:type="character" w:customStyle="1" w:styleId="1">
    <w:name w:val="未解析的提及項目1"/>
    <w:basedOn w:val="DefaultParagraphFont"/>
    <w:uiPriority w:val="99"/>
    <w:semiHidden/>
    <w:unhideWhenUsed/>
    <w:rsid w:val="006D0822"/>
    <w:rPr>
      <w:color w:val="605E5C"/>
      <w:shd w:val="clear" w:color="auto" w:fill="E1DFDD"/>
    </w:rPr>
  </w:style>
  <w:style w:type="paragraph" w:styleId="ListParagraph">
    <w:name w:val="List Paragraph"/>
    <w:basedOn w:val="Normal"/>
    <w:uiPriority w:val="34"/>
    <w:qFormat/>
    <w:rsid w:val="00E562C0"/>
    <w:pPr>
      <w:ind w:left="720"/>
      <w:contextualSpacing/>
    </w:pPr>
  </w:style>
  <w:style w:type="paragraph" w:styleId="Revision">
    <w:name w:val="Revision"/>
    <w:hidden/>
    <w:uiPriority w:val="99"/>
    <w:semiHidden/>
    <w:rsid w:val="00FE2DE5"/>
    <w:pPr>
      <w:widowControl/>
      <w:spacing w:line="240" w:lineRule="auto"/>
      <w:jc w:val="left"/>
    </w:pPr>
    <w:rPr>
      <w:rFonts w:ascii="Times New Roman" w:eastAsia="Times New Roman" w:hAnsi="Times New Roman" w:cs="Times New Roman"/>
      <w:sz w:val="24"/>
      <w:szCs w:val="24"/>
      <w:lang w:eastAsia="zh-TW"/>
    </w:rPr>
  </w:style>
  <w:style w:type="character" w:styleId="CommentReference">
    <w:name w:val="annotation reference"/>
    <w:basedOn w:val="DefaultParagraphFont"/>
    <w:uiPriority w:val="99"/>
    <w:semiHidden/>
    <w:unhideWhenUsed/>
    <w:rsid w:val="00FE2DE5"/>
    <w:rPr>
      <w:sz w:val="18"/>
      <w:szCs w:val="18"/>
    </w:rPr>
  </w:style>
  <w:style w:type="paragraph" w:styleId="CommentText">
    <w:name w:val="annotation text"/>
    <w:basedOn w:val="Normal"/>
    <w:link w:val="CommentTextChar"/>
    <w:uiPriority w:val="99"/>
    <w:semiHidden/>
    <w:unhideWhenUsed/>
    <w:rsid w:val="00FE2DE5"/>
  </w:style>
  <w:style w:type="character" w:customStyle="1" w:styleId="CommentTextChar">
    <w:name w:val="Comment Text Char"/>
    <w:basedOn w:val="DefaultParagraphFont"/>
    <w:link w:val="CommentText"/>
    <w:uiPriority w:val="99"/>
    <w:semiHidden/>
    <w:rsid w:val="00FE2DE5"/>
    <w:rPr>
      <w:rFonts w:ascii="Times New Roman" w:eastAsia="Times New Roman" w:hAnsi="Times New Roman" w:cs="Times New Roman"/>
      <w:sz w:val="24"/>
      <w:szCs w:val="24"/>
      <w:lang w:eastAsia="zh-TW"/>
    </w:rPr>
  </w:style>
  <w:style w:type="paragraph" w:styleId="CommentSubject">
    <w:name w:val="annotation subject"/>
    <w:basedOn w:val="CommentText"/>
    <w:next w:val="CommentText"/>
    <w:link w:val="CommentSubjectChar"/>
    <w:uiPriority w:val="99"/>
    <w:semiHidden/>
    <w:unhideWhenUsed/>
    <w:rsid w:val="00FE2DE5"/>
    <w:rPr>
      <w:b/>
      <w:bCs/>
    </w:rPr>
  </w:style>
  <w:style w:type="character" w:customStyle="1" w:styleId="CommentSubjectChar">
    <w:name w:val="Comment Subject Char"/>
    <w:basedOn w:val="CommentTextChar"/>
    <w:link w:val="CommentSubject"/>
    <w:uiPriority w:val="99"/>
    <w:semiHidden/>
    <w:rsid w:val="00FE2DE5"/>
    <w:rPr>
      <w:rFonts w:ascii="Times New Roman" w:eastAsia="Times New Roman" w:hAnsi="Times New Roman" w:cs="Times New Roman"/>
      <w:b/>
      <w:bCs/>
      <w:sz w:val="24"/>
      <w:szCs w:val="24"/>
      <w:lang w:eastAsia="zh-TW"/>
    </w:rPr>
  </w:style>
  <w:style w:type="character" w:styleId="UnresolvedMention">
    <w:name w:val="Unresolved Mention"/>
    <w:basedOn w:val="DefaultParagraphFont"/>
    <w:uiPriority w:val="99"/>
    <w:rsid w:val="00933B3B"/>
    <w:rPr>
      <w:color w:val="605E5C"/>
      <w:shd w:val="clear" w:color="auto" w:fill="E1DFDD"/>
    </w:rPr>
  </w:style>
  <w:style w:type="paragraph" w:styleId="NoSpacing">
    <w:name w:val="No Spacing"/>
    <w:uiPriority w:val="1"/>
    <w:qFormat/>
    <w:rsid w:val="00820642"/>
    <w:pPr>
      <w:widowControl/>
      <w:spacing w:line="240" w:lineRule="auto"/>
      <w:jc w:val="left"/>
    </w:pPr>
    <w:rPr>
      <w:rFonts w:ascii="Times New Roman" w:eastAsia="Times New Roman" w:hAnsi="Times New Roman" w:cs="Times New Roman"/>
      <w:sz w:val="24"/>
      <w:szCs w:val="24"/>
      <w:lang w:eastAsia="zh-TW"/>
    </w:rPr>
  </w:style>
  <w:style w:type="character" w:customStyle="1" w:styleId="None">
    <w:name w:val="None"/>
    <w:rsid w:val="0030174E"/>
  </w:style>
  <w:style w:type="paragraph" w:customStyle="1" w:styleId="Body">
    <w:name w:val="Body"/>
    <w:rsid w:val="007B3BE3"/>
    <w:pPr>
      <w:widowControl/>
      <w:pBdr>
        <w:top w:val="nil"/>
        <w:left w:val="nil"/>
        <w:bottom w:val="nil"/>
        <w:right w:val="nil"/>
        <w:between w:val="nil"/>
        <w:bar w:val="nil"/>
      </w:pBdr>
      <w:spacing w:line="240" w:lineRule="auto"/>
      <w:jc w:val="left"/>
    </w:pPr>
    <w:rPr>
      <w:rFonts w:ascii="Times New Roman" w:hAnsi="Times New Roman" w:cs="Arial Unicode MS"/>
      <w:color w:val="000000"/>
      <w:sz w:val="24"/>
      <w:szCs w:val="24"/>
      <w:u w:color="000000"/>
      <w:bdr w:val="nil"/>
    </w:rPr>
  </w:style>
  <w:style w:type="character" w:customStyle="1" w:styleId="Hyperlink1">
    <w:name w:val="Hyperlink.1"/>
    <w:basedOn w:val="DefaultParagraphFont"/>
    <w:rsid w:val="007B3BE3"/>
    <w:rPr>
      <w:rFonts w:ascii="Arial" w:eastAsia="Arial" w:hAnsi="Arial" w:cs="Arial"/>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92">
      <w:bodyDiv w:val="1"/>
      <w:marLeft w:val="0"/>
      <w:marRight w:val="0"/>
      <w:marTop w:val="0"/>
      <w:marBottom w:val="0"/>
      <w:divBdr>
        <w:top w:val="none" w:sz="0" w:space="0" w:color="auto"/>
        <w:left w:val="none" w:sz="0" w:space="0" w:color="auto"/>
        <w:bottom w:val="none" w:sz="0" w:space="0" w:color="auto"/>
        <w:right w:val="none" w:sz="0" w:space="0" w:color="auto"/>
      </w:divBdr>
    </w:div>
    <w:div w:id="74518397">
      <w:bodyDiv w:val="1"/>
      <w:marLeft w:val="0"/>
      <w:marRight w:val="0"/>
      <w:marTop w:val="0"/>
      <w:marBottom w:val="0"/>
      <w:divBdr>
        <w:top w:val="none" w:sz="0" w:space="0" w:color="auto"/>
        <w:left w:val="none" w:sz="0" w:space="0" w:color="auto"/>
        <w:bottom w:val="none" w:sz="0" w:space="0" w:color="auto"/>
        <w:right w:val="none" w:sz="0" w:space="0" w:color="auto"/>
      </w:divBdr>
    </w:div>
    <w:div w:id="143202880">
      <w:bodyDiv w:val="1"/>
      <w:marLeft w:val="0"/>
      <w:marRight w:val="0"/>
      <w:marTop w:val="0"/>
      <w:marBottom w:val="0"/>
      <w:divBdr>
        <w:top w:val="none" w:sz="0" w:space="0" w:color="auto"/>
        <w:left w:val="none" w:sz="0" w:space="0" w:color="auto"/>
        <w:bottom w:val="none" w:sz="0" w:space="0" w:color="auto"/>
        <w:right w:val="none" w:sz="0" w:space="0" w:color="auto"/>
      </w:divBdr>
    </w:div>
    <w:div w:id="251789429">
      <w:bodyDiv w:val="1"/>
      <w:marLeft w:val="0"/>
      <w:marRight w:val="0"/>
      <w:marTop w:val="0"/>
      <w:marBottom w:val="0"/>
      <w:divBdr>
        <w:top w:val="none" w:sz="0" w:space="0" w:color="auto"/>
        <w:left w:val="none" w:sz="0" w:space="0" w:color="auto"/>
        <w:bottom w:val="none" w:sz="0" w:space="0" w:color="auto"/>
        <w:right w:val="none" w:sz="0" w:space="0" w:color="auto"/>
      </w:divBdr>
    </w:div>
    <w:div w:id="307516646">
      <w:bodyDiv w:val="1"/>
      <w:marLeft w:val="0"/>
      <w:marRight w:val="0"/>
      <w:marTop w:val="0"/>
      <w:marBottom w:val="0"/>
      <w:divBdr>
        <w:top w:val="none" w:sz="0" w:space="0" w:color="auto"/>
        <w:left w:val="none" w:sz="0" w:space="0" w:color="auto"/>
        <w:bottom w:val="none" w:sz="0" w:space="0" w:color="auto"/>
        <w:right w:val="none" w:sz="0" w:space="0" w:color="auto"/>
      </w:divBdr>
      <w:divsChild>
        <w:div w:id="282738756">
          <w:marLeft w:val="0"/>
          <w:marRight w:val="0"/>
          <w:marTop w:val="0"/>
          <w:marBottom w:val="0"/>
          <w:divBdr>
            <w:top w:val="none" w:sz="0" w:space="0" w:color="auto"/>
            <w:left w:val="none" w:sz="0" w:space="0" w:color="auto"/>
            <w:bottom w:val="none" w:sz="0" w:space="0" w:color="auto"/>
            <w:right w:val="none" w:sz="0" w:space="0" w:color="auto"/>
          </w:divBdr>
          <w:divsChild>
            <w:div w:id="83499017">
              <w:marLeft w:val="0"/>
              <w:marRight w:val="0"/>
              <w:marTop w:val="0"/>
              <w:marBottom w:val="0"/>
              <w:divBdr>
                <w:top w:val="none" w:sz="0" w:space="0" w:color="auto"/>
                <w:left w:val="none" w:sz="0" w:space="0" w:color="auto"/>
                <w:bottom w:val="none" w:sz="0" w:space="0" w:color="auto"/>
                <w:right w:val="none" w:sz="0" w:space="0" w:color="auto"/>
              </w:divBdr>
              <w:divsChild>
                <w:div w:id="1396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4790">
      <w:bodyDiv w:val="1"/>
      <w:marLeft w:val="0"/>
      <w:marRight w:val="0"/>
      <w:marTop w:val="0"/>
      <w:marBottom w:val="0"/>
      <w:divBdr>
        <w:top w:val="none" w:sz="0" w:space="0" w:color="auto"/>
        <w:left w:val="none" w:sz="0" w:space="0" w:color="auto"/>
        <w:bottom w:val="none" w:sz="0" w:space="0" w:color="auto"/>
        <w:right w:val="none" w:sz="0" w:space="0" w:color="auto"/>
      </w:divBdr>
    </w:div>
    <w:div w:id="459032222">
      <w:bodyDiv w:val="1"/>
      <w:marLeft w:val="0"/>
      <w:marRight w:val="0"/>
      <w:marTop w:val="0"/>
      <w:marBottom w:val="0"/>
      <w:divBdr>
        <w:top w:val="none" w:sz="0" w:space="0" w:color="auto"/>
        <w:left w:val="none" w:sz="0" w:space="0" w:color="auto"/>
        <w:bottom w:val="none" w:sz="0" w:space="0" w:color="auto"/>
        <w:right w:val="none" w:sz="0" w:space="0" w:color="auto"/>
      </w:divBdr>
    </w:div>
    <w:div w:id="522940229">
      <w:bodyDiv w:val="1"/>
      <w:marLeft w:val="0"/>
      <w:marRight w:val="0"/>
      <w:marTop w:val="0"/>
      <w:marBottom w:val="0"/>
      <w:divBdr>
        <w:top w:val="none" w:sz="0" w:space="0" w:color="auto"/>
        <w:left w:val="none" w:sz="0" w:space="0" w:color="auto"/>
        <w:bottom w:val="none" w:sz="0" w:space="0" w:color="auto"/>
        <w:right w:val="none" w:sz="0" w:space="0" w:color="auto"/>
      </w:divBdr>
    </w:div>
    <w:div w:id="542986065">
      <w:bodyDiv w:val="1"/>
      <w:marLeft w:val="0"/>
      <w:marRight w:val="0"/>
      <w:marTop w:val="0"/>
      <w:marBottom w:val="0"/>
      <w:divBdr>
        <w:top w:val="none" w:sz="0" w:space="0" w:color="auto"/>
        <w:left w:val="none" w:sz="0" w:space="0" w:color="auto"/>
        <w:bottom w:val="none" w:sz="0" w:space="0" w:color="auto"/>
        <w:right w:val="none" w:sz="0" w:space="0" w:color="auto"/>
      </w:divBdr>
    </w:div>
    <w:div w:id="550725583">
      <w:bodyDiv w:val="1"/>
      <w:marLeft w:val="0"/>
      <w:marRight w:val="0"/>
      <w:marTop w:val="0"/>
      <w:marBottom w:val="0"/>
      <w:divBdr>
        <w:top w:val="none" w:sz="0" w:space="0" w:color="auto"/>
        <w:left w:val="none" w:sz="0" w:space="0" w:color="auto"/>
        <w:bottom w:val="none" w:sz="0" w:space="0" w:color="auto"/>
        <w:right w:val="none" w:sz="0" w:space="0" w:color="auto"/>
      </w:divBdr>
      <w:divsChild>
        <w:div w:id="1674408812">
          <w:marLeft w:val="0"/>
          <w:marRight w:val="0"/>
          <w:marTop w:val="0"/>
          <w:marBottom w:val="0"/>
          <w:divBdr>
            <w:top w:val="none" w:sz="0" w:space="0" w:color="auto"/>
            <w:left w:val="none" w:sz="0" w:space="0" w:color="auto"/>
            <w:bottom w:val="none" w:sz="0" w:space="0" w:color="auto"/>
            <w:right w:val="none" w:sz="0" w:space="0" w:color="auto"/>
          </w:divBdr>
          <w:divsChild>
            <w:div w:id="1561745914">
              <w:marLeft w:val="0"/>
              <w:marRight w:val="0"/>
              <w:marTop w:val="0"/>
              <w:marBottom w:val="0"/>
              <w:divBdr>
                <w:top w:val="none" w:sz="0" w:space="0" w:color="auto"/>
                <w:left w:val="none" w:sz="0" w:space="0" w:color="auto"/>
                <w:bottom w:val="none" w:sz="0" w:space="0" w:color="auto"/>
                <w:right w:val="none" w:sz="0" w:space="0" w:color="auto"/>
              </w:divBdr>
              <w:divsChild>
                <w:div w:id="21166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7872">
      <w:bodyDiv w:val="1"/>
      <w:marLeft w:val="0"/>
      <w:marRight w:val="0"/>
      <w:marTop w:val="0"/>
      <w:marBottom w:val="0"/>
      <w:divBdr>
        <w:top w:val="none" w:sz="0" w:space="0" w:color="auto"/>
        <w:left w:val="none" w:sz="0" w:space="0" w:color="auto"/>
        <w:bottom w:val="none" w:sz="0" w:space="0" w:color="auto"/>
        <w:right w:val="none" w:sz="0" w:space="0" w:color="auto"/>
      </w:divBdr>
    </w:div>
    <w:div w:id="642658662">
      <w:bodyDiv w:val="1"/>
      <w:marLeft w:val="0"/>
      <w:marRight w:val="0"/>
      <w:marTop w:val="0"/>
      <w:marBottom w:val="0"/>
      <w:divBdr>
        <w:top w:val="none" w:sz="0" w:space="0" w:color="auto"/>
        <w:left w:val="none" w:sz="0" w:space="0" w:color="auto"/>
        <w:bottom w:val="none" w:sz="0" w:space="0" w:color="auto"/>
        <w:right w:val="none" w:sz="0" w:space="0" w:color="auto"/>
      </w:divBdr>
    </w:div>
    <w:div w:id="644162741">
      <w:bodyDiv w:val="1"/>
      <w:marLeft w:val="0"/>
      <w:marRight w:val="0"/>
      <w:marTop w:val="0"/>
      <w:marBottom w:val="0"/>
      <w:divBdr>
        <w:top w:val="none" w:sz="0" w:space="0" w:color="auto"/>
        <w:left w:val="none" w:sz="0" w:space="0" w:color="auto"/>
        <w:bottom w:val="none" w:sz="0" w:space="0" w:color="auto"/>
        <w:right w:val="none" w:sz="0" w:space="0" w:color="auto"/>
      </w:divBdr>
    </w:div>
    <w:div w:id="671950745">
      <w:bodyDiv w:val="1"/>
      <w:marLeft w:val="0"/>
      <w:marRight w:val="0"/>
      <w:marTop w:val="0"/>
      <w:marBottom w:val="0"/>
      <w:divBdr>
        <w:top w:val="none" w:sz="0" w:space="0" w:color="auto"/>
        <w:left w:val="none" w:sz="0" w:space="0" w:color="auto"/>
        <w:bottom w:val="none" w:sz="0" w:space="0" w:color="auto"/>
        <w:right w:val="none" w:sz="0" w:space="0" w:color="auto"/>
      </w:divBdr>
    </w:div>
    <w:div w:id="713625462">
      <w:bodyDiv w:val="1"/>
      <w:marLeft w:val="0"/>
      <w:marRight w:val="0"/>
      <w:marTop w:val="0"/>
      <w:marBottom w:val="0"/>
      <w:divBdr>
        <w:top w:val="none" w:sz="0" w:space="0" w:color="auto"/>
        <w:left w:val="none" w:sz="0" w:space="0" w:color="auto"/>
        <w:bottom w:val="none" w:sz="0" w:space="0" w:color="auto"/>
        <w:right w:val="none" w:sz="0" w:space="0" w:color="auto"/>
      </w:divBdr>
    </w:div>
    <w:div w:id="725030181">
      <w:bodyDiv w:val="1"/>
      <w:marLeft w:val="0"/>
      <w:marRight w:val="0"/>
      <w:marTop w:val="0"/>
      <w:marBottom w:val="0"/>
      <w:divBdr>
        <w:top w:val="none" w:sz="0" w:space="0" w:color="auto"/>
        <w:left w:val="none" w:sz="0" w:space="0" w:color="auto"/>
        <w:bottom w:val="none" w:sz="0" w:space="0" w:color="auto"/>
        <w:right w:val="none" w:sz="0" w:space="0" w:color="auto"/>
      </w:divBdr>
    </w:div>
    <w:div w:id="726302606">
      <w:bodyDiv w:val="1"/>
      <w:marLeft w:val="0"/>
      <w:marRight w:val="0"/>
      <w:marTop w:val="0"/>
      <w:marBottom w:val="0"/>
      <w:divBdr>
        <w:top w:val="none" w:sz="0" w:space="0" w:color="auto"/>
        <w:left w:val="none" w:sz="0" w:space="0" w:color="auto"/>
        <w:bottom w:val="none" w:sz="0" w:space="0" w:color="auto"/>
        <w:right w:val="none" w:sz="0" w:space="0" w:color="auto"/>
      </w:divBdr>
    </w:div>
    <w:div w:id="753167397">
      <w:bodyDiv w:val="1"/>
      <w:marLeft w:val="0"/>
      <w:marRight w:val="0"/>
      <w:marTop w:val="0"/>
      <w:marBottom w:val="0"/>
      <w:divBdr>
        <w:top w:val="none" w:sz="0" w:space="0" w:color="auto"/>
        <w:left w:val="none" w:sz="0" w:space="0" w:color="auto"/>
        <w:bottom w:val="none" w:sz="0" w:space="0" w:color="auto"/>
        <w:right w:val="none" w:sz="0" w:space="0" w:color="auto"/>
      </w:divBdr>
    </w:div>
    <w:div w:id="762649270">
      <w:bodyDiv w:val="1"/>
      <w:marLeft w:val="0"/>
      <w:marRight w:val="0"/>
      <w:marTop w:val="0"/>
      <w:marBottom w:val="0"/>
      <w:divBdr>
        <w:top w:val="none" w:sz="0" w:space="0" w:color="auto"/>
        <w:left w:val="none" w:sz="0" w:space="0" w:color="auto"/>
        <w:bottom w:val="none" w:sz="0" w:space="0" w:color="auto"/>
        <w:right w:val="none" w:sz="0" w:space="0" w:color="auto"/>
      </w:divBdr>
    </w:div>
    <w:div w:id="825904629">
      <w:bodyDiv w:val="1"/>
      <w:marLeft w:val="0"/>
      <w:marRight w:val="0"/>
      <w:marTop w:val="0"/>
      <w:marBottom w:val="0"/>
      <w:divBdr>
        <w:top w:val="none" w:sz="0" w:space="0" w:color="auto"/>
        <w:left w:val="none" w:sz="0" w:space="0" w:color="auto"/>
        <w:bottom w:val="none" w:sz="0" w:space="0" w:color="auto"/>
        <w:right w:val="none" w:sz="0" w:space="0" w:color="auto"/>
      </w:divBdr>
    </w:div>
    <w:div w:id="837303210">
      <w:bodyDiv w:val="1"/>
      <w:marLeft w:val="0"/>
      <w:marRight w:val="0"/>
      <w:marTop w:val="0"/>
      <w:marBottom w:val="0"/>
      <w:divBdr>
        <w:top w:val="none" w:sz="0" w:space="0" w:color="auto"/>
        <w:left w:val="none" w:sz="0" w:space="0" w:color="auto"/>
        <w:bottom w:val="none" w:sz="0" w:space="0" w:color="auto"/>
        <w:right w:val="none" w:sz="0" w:space="0" w:color="auto"/>
      </w:divBdr>
    </w:div>
    <w:div w:id="858856917">
      <w:bodyDiv w:val="1"/>
      <w:marLeft w:val="0"/>
      <w:marRight w:val="0"/>
      <w:marTop w:val="0"/>
      <w:marBottom w:val="0"/>
      <w:divBdr>
        <w:top w:val="none" w:sz="0" w:space="0" w:color="auto"/>
        <w:left w:val="none" w:sz="0" w:space="0" w:color="auto"/>
        <w:bottom w:val="none" w:sz="0" w:space="0" w:color="auto"/>
        <w:right w:val="none" w:sz="0" w:space="0" w:color="auto"/>
      </w:divBdr>
    </w:div>
    <w:div w:id="912272618">
      <w:bodyDiv w:val="1"/>
      <w:marLeft w:val="0"/>
      <w:marRight w:val="0"/>
      <w:marTop w:val="0"/>
      <w:marBottom w:val="0"/>
      <w:divBdr>
        <w:top w:val="none" w:sz="0" w:space="0" w:color="auto"/>
        <w:left w:val="none" w:sz="0" w:space="0" w:color="auto"/>
        <w:bottom w:val="none" w:sz="0" w:space="0" w:color="auto"/>
        <w:right w:val="none" w:sz="0" w:space="0" w:color="auto"/>
      </w:divBdr>
    </w:div>
    <w:div w:id="1018435232">
      <w:bodyDiv w:val="1"/>
      <w:marLeft w:val="0"/>
      <w:marRight w:val="0"/>
      <w:marTop w:val="0"/>
      <w:marBottom w:val="0"/>
      <w:divBdr>
        <w:top w:val="none" w:sz="0" w:space="0" w:color="auto"/>
        <w:left w:val="none" w:sz="0" w:space="0" w:color="auto"/>
        <w:bottom w:val="none" w:sz="0" w:space="0" w:color="auto"/>
        <w:right w:val="none" w:sz="0" w:space="0" w:color="auto"/>
      </w:divBdr>
    </w:div>
    <w:div w:id="1046298506">
      <w:bodyDiv w:val="1"/>
      <w:marLeft w:val="0"/>
      <w:marRight w:val="0"/>
      <w:marTop w:val="0"/>
      <w:marBottom w:val="0"/>
      <w:divBdr>
        <w:top w:val="none" w:sz="0" w:space="0" w:color="auto"/>
        <w:left w:val="none" w:sz="0" w:space="0" w:color="auto"/>
        <w:bottom w:val="none" w:sz="0" w:space="0" w:color="auto"/>
        <w:right w:val="none" w:sz="0" w:space="0" w:color="auto"/>
      </w:divBdr>
    </w:div>
    <w:div w:id="1131901698">
      <w:bodyDiv w:val="1"/>
      <w:marLeft w:val="0"/>
      <w:marRight w:val="0"/>
      <w:marTop w:val="0"/>
      <w:marBottom w:val="0"/>
      <w:divBdr>
        <w:top w:val="none" w:sz="0" w:space="0" w:color="auto"/>
        <w:left w:val="none" w:sz="0" w:space="0" w:color="auto"/>
        <w:bottom w:val="none" w:sz="0" w:space="0" w:color="auto"/>
        <w:right w:val="none" w:sz="0" w:space="0" w:color="auto"/>
      </w:divBdr>
    </w:div>
    <w:div w:id="1139612166">
      <w:bodyDiv w:val="1"/>
      <w:marLeft w:val="0"/>
      <w:marRight w:val="0"/>
      <w:marTop w:val="0"/>
      <w:marBottom w:val="0"/>
      <w:divBdr>
        <w:top w:val="none" w:sz="0" w:space="0" w:color="auto"/>
        <w:left w:val="none" w:sz="0" w:space="0" w:color="auto"/>
        <w:bottom w:val="none" w:sz="0" w:space="0" w:color="auto"/>
        <w:right w:val="none" w:sz="0" w:space="0" w:color="auto"/>
      </w:divBdr>
    </w:div>
    <w:div w:id="1176458526">
      <w:bodyDiv w:val="1"/>
      <w:marLeft w:val="0"/>
      <w:marRight w:val="0"/>
      <w:marTop w:val="0"/>
      <w:marBottom w:val="0"/>
      <w:divBdr>
        <w:top w:val="none" w:sz="0" w:space="0" w:color="auto"/>
        <w:left w:val="none" w:sz="0" w:space="0" w:color="auto"/>
        <w:bottom w:val="none" w:sz="0" w:space="0" w:color="auto"/>
        <w:right w:val="none" w:sz="0" w:space="0" w:color="auto"/>
      </w:divBdr>
    </w:div>
    <w:div w:id="1271664242">
      <w:bodyDiv w:val="1"/>
      <w:marLeft w:val="0"/>
      <w:marRight w:val="0"/>
      <w:marTop w:val="0"/>
      <w:marBottom w:val="0"/>
      <w:divBdr>
        <w:top w:val="none" w:sz="0" w:space="0" w:color="auto"/>
        <w:left w:val="none" w:sz="0" w:space="0" w:color="auto"/>
        <w:bottom w:val="none" w:sz="0" w:space="0" w:color="auto"/>
        <w:right w:val="none" w:sz="0" w:space="0" w:color="auto"/>
      </w:divBdr>
    </w:div>
    <w:div w:id="1361201004">
      <w:bodyDiv w:val="1"/>
      <w:marLeft w:val="0"/>
      <w:marRight w:val="0"/>
      <w:marTop w:val="0"/>
      <w:marBottom w:val="0"/>
      <w:divBdr>
        <w:top w:val="none" w:sz="0" w:space="0" w:color="auto"/>
        <w:left w:val="none" w:sz="0" w:space="0" w:color="auto"/>
        <w:bottom w:val="none" w:sz="0" w:space="0" w:color="auto"/>
        <w:right w:val="none" w:sz="0" w:space="0" w:color="auto"/>
      </w:divBdr>
    </w:div>
    <w:div w:id="1403917038">
      <w:bodyDiv w:val="1"/>
      <w:marLeft w:val="0"/>
      <w:marRight w:val="0"/>
      <w:marTop w:val="0"/>
      <w:marBottom w:val="0"/>
      <w:divBdr>
        <w:top w:val="none" w:sz="0" w:space="0" w:color="auto"/>
        <w:left w:val="none" w:sz="0" w:space="0" w:color="auto"/>
        <w:bottom w:val="none" w:sz="0" w:space="0" w:color="auto"/>
        <w:right w:val="none" w:sz="0" w:space="0" w:color="auto"/>
      </w:divBdr>
    </w:div>
    <w:div w:id="1453203848">
      <w:bodyDiv w:val="1"/>
      <w:marLeft w:val="0"/>
      <w:marRight w:val="0"/>
      <w:marTop w:val="0"/>
      <w:marBottom w:val="0"/>
      <w:divBdr>
        <w:top w:val="none" w:sz="0" w:space="0" w:color="auto"/>
        <w:left w:val="none" w:sz="0" w:space="0" w:color="auto"/>
        <w:bottom w:val="none" w:sz="0" w:space="0" w:color="auto"/>
        <w:right w:val="none" w:sz="0" w:space="0" w:color="auto"/>
      </w:divBdr>
    </w:div>
    <w:div w:id="1453327339">
      <w:bodyDiv w:val="1"/>
      <w:marLeft w:val="0"/>
      <w:marRight w:val="0"/>
      <w:marTop w:val="0"/>
      <w:marBottom w:val="0"/>
      <w:divBdr>
        <w:top w:val="none" w:sz="0" w:space="0" w:color="auto"/>
        <w:left w:val="none" w:sz="0" w:space="0" w:color="auto"/>
        <w:bottom w:val="none" w:sz="0" w:space="0" w:color="auto"/>
        <w:right w:val="none" w:sz="0" w:space="0" w:color="auto"/>
      </w:divBdr>
    </w:div>
    <w:div w:id="1454206720">
      <w:bodyDiv w:val="1"/>
      <w:marLeft w:val="0"/>
      <w:marRight w:val="0"/>
      <w:marTop w:val="0"/>
      <w:marBottom w:val="0"/>
      <w:divBdr>
        <w:top w:val="none" w:sz="0" w:space="0" w:color="auto"/>
        <w:left w:val="none" w:sz="0" w:space="0" w:color="auto"/>
        <w:bottom w:val="none" w:sz="0" w:space="0" w:color="auto"/>
        <w:right w:val="none" w:sz="0" w:space="0" w:color="auto"/>
      </w:divBdr>
    </w:div>
    <w:div w:id="1508523628">
      <w:bodyDiv w:val="1"/>
      <w:marLeft w:val="0"/>
      <w:marRight w:val="0"/>
      <w:marTop w:val="0"/>
      <w:marBottom w:val="0"/>
      <w:divBdr>
        <w:top w:val="none" w:sz="0" w:space="0" w:color="auto"/>
        <w:left w:val="none" w:sz="0" w:space="0" w:color="auto"/>
        <w:bottom w:val="none" w:sz="0" w:space="0" w:color="auto"/>
        <w:right w:val="none" w:sz="0" w:space="0" w:color="auto"/>
      </w:divBdr>
    </w:div>
    <w:div w:id="1543982723">
      <w:bodyDiv w:val="1"/>
      <w:marLeft w:val="0"/>
      <w:marRight w:val="0"/>
      <w:marTop w:val="0"/>
      <w:marBottom w:val="0"/>
      <w:divBdr>
        <w:top w:val="none" w:sz="0" w:space="0" w:color="auto"/>
        <w:left w:val="none" w:sz="0" w:space="0" w:color="auto"/>
        <w:bottom w:val="none" w:sz="0" w:space="0" w:color="auto"/>
        <w:right w:val="none" w:sz="0" w:space="0" w:color="auto"/>
      </w:divBdr>
    </w:div>
    <w:div w:id="1554468260">
      <w:bodyDiv w:val="1"/>
      <w:marLeft w:val="0"/>
      <w:marRight w:val="0"/>
      <w:marTop w:val="0"/>
      <w:marBottom w:val="0"/>
      <w:divBdr>
        <w:top w:val="none" w:sz="0" w:space="0" w:color="auto"/>
        <w:left w:val="none" w:sz="0" w:space="0" w:color="auto"/>
        <w:bottom w:val="none" w:sz="0" w:space="0" w:color="auto"/>
        <w:right w:val="none" w:sz="0" w:space="0" w:color="auto"/>
      </w:divBdr>
    </w:div>
    <w:div w:id="1556314257">
      <w:bodyDiv w:val="1"/>
      <w:marLeft w:val="0"/>
      <w:marRight w:val="0"/>
      <w:marTop w:val="0"/>
      <w:marBottom w:val="0"/>
      <w:divBdr>
        <w:top w:val="none" w:sz="0" w:space="0" w:color="auto"/>
        <w:left w:val="none" w:sz="0" w:space="0" w:color="auto"/>
        <w:bottom w:val="none" w:sz="0" w:space="0" w:color="auto"/>
        <w:right w:val="none" w:sz="0" w:space="0" w:color="auto"/>
      </w:divBdr>
    </w:div>
    <w:div w:id="1700397539">
      <w:bodyDiv w:val="1"/>
      <w:marLeft w:val="0"/>
      <w:marRight w:val="0"/>
      <w:marTop w:val="0"/>
      <w:marBottom w:val="0"/>
      <w:divBdr>
        <w:top w:val="none" w:sz="0" w:space="0" w:color="auto"/>
        <w:left w:val="none" w:sz="0" w:space="0" w:color="auto"/>
        <w:bottom w:val="none" w:sz="0" w:space="0" w:color="auto"/>
        <w:right w:val="none" w:sz="0" w:space="0" w:color="auto"/>
      </w:divBdr>
    </w:div>
    <w:div w:id="1806124483">
      <w:bodyDiv w:val="1"/>
      <w:marLeft w:val="0"/>
      <w:marRight w:val="0"/>
      <w:marTop w:val="0"/>
      <w:marBottom w:val="0"/>
      <w:divBdr>
        <w:top w:val="none" w:sz="0" w:space="0" w:color="auto"/>
        <w:left w:val="none" w:sz="0" w:space="0" w:color="auto"/>
        <w:bottom w:val="none" w:sz="0" w:space="0" w:color="auto"/>
        <w:right w:val="none" w:sz="0" w:space="0" w:color="auto"/>
      </w:divBdr>
    </w:div>
    <w:div w:id="1808205978">
      <w:bodyDiv w:val="1"/>
      <w:marLeft w:val="0"/>
      <w:marRight w:val="0"/>
      <w:marTop w:val="0"/>
      <w:marBottom w:val="0"/>
      <w:divBdr>
        <w:top w:val="none" w:sz="0" w:space="0" w:color="auto"/>
        <w:left w:val="none" w:sz="0" w:space="0" w:color="auto"/>
        <w:bottom w:val="none" w:sz="0" w:space="0" w:color="auto"/>
        <w:right w:val="none" w:sz="0" w:space="0" w:color="auto"/>
      </w:divBdr>
    </w:div>
    <w:div w:id="1886522745">
      <w:bodyDiv w:val="1"/>
      <w:marLeft w:val="0"/>
      <w:marRight w:val="0"/>
      <w:marTop w:val="0"/>
      <w:marBottom w:val="0"/>
      <w:divBdr>
        <w:top w:val="none" w:sz="0" w:space="0" w:color="auto"/>
        <w:left w:val="none" w:sz="0" w:space="0" w:color="auto"/>
        <w:bottom w:val="none" w:sz="0" w:space="0" w:color="auto"/>
        <w:right w:val="none" w:sz="0" w:space="0" w:color="auto"/>
      </w:divBdr>
    </w:div>
    <w:div w:id="1967738994">
      <w:bodyDiv w:val="1"/>
      <w:marLeft w:val="0"/>
      <w:marRight w:val="0"/>
      <w:marTop w:val="0"/>
      <w:marBottom w:val="0"/>
      <w:divBdr>
        <w:top w:val="none" w:sz="0" w:space="0" w:color="auto"/>
        <w:left w:val="none" w:sz="0" w:space="0" w:color="auto"/>
        <w:bottom w:val="none" w:sz="0" w:space="0" w:color="auto"/>
        <w:right w:val="none" w:sz="0" w:space="0" w:color="auto"/>
      </w:divBdr>
    </w:div>
    <w:div w:id="1993216828">
      <w:bodyDiv w:val="1"/>
      <w:marLeft w:val="0"/>
      <w:marRight w:val="0"/>
      <w:marTop w:val="0"/>
      <w:marBottom w:val="0"/>
      <w:divBdr>
        <w:top w:val="none" w:sz="0" w:space="0" w:color="auto"/>
        <w:left w:val="none" w:sz="0" w:space="0" w:color="auto"/>
        <w:bottom w:val="none" w:sz="0" w:space="0" w:color="auto"/>
        <w:right w:val="none" w:sz="0" w:space="0" w:color="auto"/>
      </w:divBdr>
    </w:div>
    <w:div w:id="1999310012">
      <w:bodyDiv w:val="1"/>
      <w:marLeft w:val="0"/>
      <w:marRight w:val="0"/>
      <w:marTop w:val="0"/>
      <w:marBottom w:val="0"/>
      <w:divBdr>
        <w:top w:val="none" w:sz="0" w:space="0" w:color="auto"/>
        <w:left w:val="none" w:sz="0" w:space="0" w:color="auto"/>
        <w:bottom w:val="none" w:sz="0" w:space="0" w:color="auto"/>
        <w:right w:val="none" w:sz="0" w:space="0" w:color="auto"/>
      </w:divBdr>
    </w:div>
    <w:div w:id="2035106316">
      <w:bodyDiv w:val="1"/>
      <w:marLeft w:val="0"/>
      <w:marRight w:val="0"/>
      <w:marTop w:val="0"/>
      <w:marBottom w:val="0"/>
      <w:divBdr>
        <w:top w:val="none" w:sz="0" w:space="0" w:color="auto"/>
        <w:left w:val="none" w:sz="0" w:space="0" w:color="auto"/>
        <w:bottom w:val="none" w:sz="0" w:space="0" w:color="auto"/>
        <w:right w:val="none" w:sz="0" w:space="0" w:color="auto"/>
      </w:divBdr>
    </w:div>
    <w:div w:id="209619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vin.lip@tsangsgroup.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edwards@theflexi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que@companioncommunicatio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edwards@theflexigroup.com" TargetMode="External"/><Relationship Id="rId4" Type="http://schemas.openxmlformats.org/officeDocument/2006/relationships/settings" Target="settings.xml"/><Relationship Id="rId9" Type="http://schemas.openxmlformats.org/officeDocument/2006/relationships/hyperlink" Target="mailto:dominique@companioncommunications.com" TargetMode="External"/><Relationship Id="rId14" Type="http://schemas.openxmlformats.org/officeDocument/2006/relationships/hyperlink" Target="mailto:kevin.lip@tsangsgroup.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8861-B073-5F48-8B6E-2989CEE7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H-SCRAMBLE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Vania Cheung</dc:creator>
  <cp:lastModifiedBy>user2</cp:lastModifiedBy>
  <cp:revision>35</cp:revision>
  <cp:lastPrinted>2022-09-30T02:14:00Z</cp:lastPrinted>
  <dcterms:created xsi:type="dcterms:W3CDTF">2022-06-28T08:49:00Z</dcterms:created>
  <dcterms:modified xsi:type="dcterms:W3CDTF">2022-12-05T07:08:00Z</dcterms:modified>
</cp:coreProperties>
</file>